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cs="微软雅黑"/>
          <w:sz w:val="36"/>
          <w:szCs w:val="36"/>
        </w:rPr>
      </w:pPr>
    </w:p>
    <w:p>
      <w:pPr>
        <w:jc w:val="center"/>
        <w:rPr>
          <w:rFonts w:ascii="仿宋_GB2312" w:eastAsia="仿宋_GB2312"/>
          <w:sz w:val="32"/>
          <w:szCs w:val="32"/>
        </w:rPr>
      </w:pPr>
    </w:p>
    <w:p>
      <w:pPr>
        <w:jc w:val="center"/>
        <w:rPr>
          <w:rFonts w:ascii="仿宋_GB2312" w:eastAsia="仿宋_GB2312"/>
          <w:sz w:val="32"/>
          <w:szCs w:val="32"/>
        </w:rPr>
      </w:pPr>
      <w:r>
        <w:rPr>
          <w:rFonts w:hint="eastAsia" w:ascii="宋体" w:hAnsi="宋体" w:cs="Arial"/>
          <w:b/>
          <w:sz w:val="32"/>
          <w:szCs w:val="32"/>
        </w:rPr>
        <w:drawing>
          <wp:anchor distT="0" distB="0" distL="114300" distR="114300" simplePos="0" relativeHeight="251659264" behindDoc="1" locked="0" layoutInCell="1" allowOverlap="1">
            <wp:simplePos x="0" y="0"/>
            <wp:positionH relativeFrom="column">
              <wp:posOffset>165735</wp:posOffset>
            </wp:positionH>
            <wp:positionV relativeFrom="paragraph">
              <wp:posOffset>1270</wp:posOffset>
            </wp:positionV>
            <wp:extent cx="5534025" cy="2000250"/>
            <wp:effectExtent l="0" t="0" r="1270" b="635"/>
            <wp:wrapNone/>
            <wp:docPr id="1" name="图片 1" descr="2021.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21.2.2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534025" cy="2000250"/>
                    </a:xfrm>
                    <a:prstGeom prst="rect">
                      <a:avLst/>
                    </a:prstGeom>
                    <a:noFill/>
                    <a:ln>
                      <a:noFill/>
                    </a:ln>
                  </pic:spPr>
                </pic:pic>
              </a:graphicData>
            </a:graphic>
          </wp:anchor>
        </w:drawing>
      </w:r>
    </w:p>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p>
    <w:p>
      <w:pPr>
        <w:jc w:val="center"/>
        <w:rPr>
          <w:rFonts w:ascii="方正小标宋简体" w:hAnsi="宋体" w:eastAsia="方正小标宋简体" w:cs="Times New Roman"/>
          <w:bCs/>
          <w:sz w:val="44"/>
          <w:szCs w:val="44"/>
        </w:rPr>
      </w:pPr>
      <w:r>
        <w:rPr>
          <w:rFonts w:hint="eastAsia" w:ascii="仿宋_GB2312" w:eastAsia="仿宋_GB2312"/>
          <w:sz w:val="32"/>
          <w:szCs w:val="32"/>
        </w:rPr>
        <w:t>广软〔202</w:t>
      </w:r>
      <w:r>
        <w:rPr>
          <w:rFonts w:ascii="仿宋_GB2312" w:eastAsia="仿宋_GB2312"/>
          <w:sz w:val="32"/>
          <w:szCs w:val="32"/>
        </w:rPr>
        <w:t>5</w:t>
      </w:r>
      <w:r>
        <w:rPr>
          <w:rFonts w:hint="eastAsia" w:ascii="仿宋_GB2312" w:eastAsia="仿宋_GB2312"/>
          <w:sz w:val="32"/>
          <w:szCs w:val="32"/>
        </w:rPr>
        <w:t>〕17号</w:t>
      </w:r>
    </w:p>
    <w:p>
      <w:pPr>
        <w:jc w:val="center"/>
        <w:rPr>
          <w:rFonts w:ascii="方正小标宋简体" w:hAnsi="宋体" w:eastAsia="方正小标宋简体" w:cs="Times New Roman"/>
          <w:bCs/>
          <w:sz w:val="44"/>
          <w:szCs w:val="44"/>
        </w:rPr>
      </w:pPr>
    </w:p>
    <w:p>
      <w:pPr>
        <w:spacing w:line="600" w:lineRule="exact"/>
        <w:jc w:val="center"/>
        <w:rPr>
          <w:rFonts w:ascii="方正小标宋简体" w:hAnsi="宋体" w:eastAsia="方正小标宋简体" w:cs="Times New Roman"/>
          <w:bCs/>
          <w:sz w:val="44"/>
          <w:szCs w:val="44"/>
        </w:rPr>
      </w:pPr>
      <w:r>
        <w:rPr>
          <w:rFonts w:hint="eastAsia" w:ascii="方正小标宋简体" w:hAnsi="宋体" w:eastAsia="方正小标宋简体" w:cs="Times New Roman"/>
          <w:bCs/>
          <w:sz w:val="44"/>
          <w:szCs w:val="44"/>
        </w:rPr>
        <w:t>广州软件学院关于印发《广州软件学院</w:t>
      </w:r>
    </w:p>
    <w:p>
      <w:pPr>
        <w:spacing w:line="600" w:lineRule="exact"/>
        <w:jc w:val="center"/>
        <w:rPr>
          <w:rFonts w:ascii="方正小标宋简体" w:hAnsi="宋体" w:eastAsia="方正小标宋简体" w:cs="Times New Roman"/>
          <w:bCs/>
          <w:sz w:val="44"/>
          <w:szCs w:val="44"/>
        </w:rPr>
      </w:pPr>
      <w:r>
        <w:rPr>
          <w:rFonts w:hint="eastAsia" w:ascii="方正小标宋简体" w:eastAsia="方正小标宋简体"/>
          <w:sz w:val="44"/>
          <w:szCs w:val="44"/>
        </w:rPr>
        <w:t>教学指导委员会章程</w:t>
      </w:r>
      <w:r>
        <w:rPr>
          <w:rFonts w:hint="eastAsia" w:ascii="方正小标宋简体" w:hAnsi="宋体" w:eastAsia="方正小标宋简体" w:cs="Times New Roman"/>
          <w:bCs/>
          <w:sz w:val="44"/>
          <w:szCs w:val="44"/>
        </w:rPr>
        <w:t>》的通知</w:t>
      </w:r>
    </w:p>
    <w:p>
      <w:pPr>
        <w:jc w:val="center"/>
        <w:rPr>
          <w:rFonts w:ascii="方正小标宋简体" w:hAnsi="宋体" w:eastAsia="方正小标宋简体" w:cs="Times New Roman"/>
          <w:bCs/>
          <w:sz w:val="44"/>
          <w:szCs w:val="44"/>
        </w:rPr>
      </w:pPr>
    </w:p>
    <w:p>
      <w:pPr>
        <w:pStyle w:val="2"/>
        <w:adjustRightInd w:val="0"/>
        <w:snapToGrid w:val="0"/>
        <w:spacing w:line="600" w:lineRule="exact"/>
        <w:ind w:firstLine="0"/>
      </w:pPr>
      <w:r>
        <w:rPr>
          <w:rFonts w:hint="eastAsia"/>
        </w:rPr>
        <w:t>校属各单位：</w:t>
      </w:r>
    </w:p>
    <w:p>
      <w:pPr>
        <w:pStyle w:val="2"/>
        <w:adjustRightInd w:val="0"/>
        <w:snapToGrid w:val="0"/>
        <w:spacing w:line="600" w:lineRule="exact"/>
        <w:ind w:firstLine="640" w:firstLineChars="200"/>
        <w:rPr>
          <w:color w:val="000000"/>
        </w:rPr>
      </w:pPr>
      <w:r>
        <w:rPr>
          <w:rFonts w:hint="eastAsia"/>
          <w:color w:val="000000"/>
        </w:rPr>
        <w:t>现将《广州软件学院教学指导委员会章程》</w:t>
      </w:r>
      <w:r>
        <w:rPr>
          <w:color w:val="000000"/>
        </w:rPr>
        <w:t>予以印发，请遵照执行。</w:t>
      </w:r>
    </w:p>
    <w:p>
      <w:pPr>
        <w:pStyle w:val="2"/>
        <w:adjustRightInd w:val="0"/>
        <w:snapToGrid w:val="0"/>
        <w:spacing w:line="600" w:lineRule="exact"/>
        <w:ind w:firstLine="640" w:firstLineChars="200"/>
        <w:rPr>
          <w:color w:val="000000"/>
        </w:rPr>
      </w:pPr>
    </w:p>
    <w:p>
      <w:pPr>
        <w:pStyle w:val="2"/>
        <w:adjustRightInd w:val="0"/>
        <w:snapToGrid w:val="0"/>
        <w:spacing w:line="600" w:lineRule="exact"/>
        <w:ind w:right="320" w:firstLine="640" w:firstLineChars="200"/>
        <w:jc w:val="right"/>
        <w:rPr>
          <w:color w:val="000000"/>
        </w:rPr>
      </w:pPr>
      <w:r>
        <w:rPr>
          <w:color w:val="000000"/>
        </w:rPr>
        <w:t>广州软件学院</w:t>
      </w:r>
    </w:p>
    <w:p>
      <w:pPr>
        <w:wordWrap w:val="0"/>
        <w:adjustRightInd w:val="0"/>
        <w:snapToGrid w:val="0"/>
        <w:spacing w:line="600" w:lineRule="exact"/>
        <w:jc w:val="right"/>
        <w:rPr>
          <w:rFonts w:ascii="仿宋_GB2312" w:hAnsi="宋体" w:eastAsia="仿宋_GB2312" w:cs="仿宋_GB2312"/>
          <w:color w:val="000000"/>
          <w:sz w:val="32"/>
          <w:szCs w:val="32"/>
        </w:rPr>
      </w:pPr>
      <w:r>
        <w:rPr>
          <w:rFonts w:ascii="仿宋_GB2312" w:hAnsi="宋体" w:eastAsia="仿宋_GB2312" w:cs="仿宋_GB2312"/>
          <w:color w:val="000000"/>
          <w:sz w:val="32"/>
          <w:szCs w:val="32"/>
        </w:rPr>
        <w:t>2025年3月7日</w:t>
      </w:r>
    </w:p>
    <w:p>
      <w:pPr>
        <w:adjustRightInd w:val="0"/>
        <w:snapToGrid w:val="0"/>
        <w:spacing w:line="600" w:lineRule="exact"/>
        <w:jc w:val="left"/>
        <w:rPr>
          <w:rFonts w:ascii="仿宋_GB2312" w:eastAsia="仿宋_GB2312"/>
          <w:sz w:val="32"/>
          <w:szCs w:val="32"/>
        </w:rPr>
      </w:pPr>
    </w:p>
    <w:p>
      <w:pPr>
        <w:adjustRightInd w:val="0"/>
        <w:snapToGrid w:val="0"/>
        <w:spacing w:line="600" w:lineRule="exact"/>
        <w:jc w:val="left"/>
        <w:rPr>
          <w:rFonts w:ascii="仿宋_GB2312" w:eastAsia="仿宋_GB2312"/>
          <w:sz w:val="32"/>
          <w:szCs w:val="32"/>
        </w:rPr>
      </w:pPr>
    </w:p>
    <w:p>
      <w:pPr>
        <w:adjustRightInd w:val="0"/>
        <w:snapToGrid w:val="0"/>
        <w:spacing w:line="600" w:lineRule="exact"/>
        <w:jc w:val="left"/>
        <w:rPr>
          <w:rFonts w:ascii="仿宋_GB2312" w:eastAsia="仿宋_GB2312"/>
          <w:sz w:val="32"/>
          <w:szCs w:val="32"/>
        </w:rPr>
      </w:pPr>
    </w:p>
    <w:p>
      <w:pPr>
        <w:adjustRightInd w:val="0"/>
        <w:snapToGrid w:val="0"/>
        <w:spacing w:line="600" w:lineRule="exact"/>
        <w:jc w:val="left"/>
        <w:rPr>
          <w:rFonts w:hint="eastAsia" w:ascii="仿宋_GB2312" w:eastAsia="仿宋_GB2312"/>
          <w:sz w:val="32"/>
          <w:szCs w:val="32"/>
        </w:rPr>
      </w:pPr>
    </w:p>
    <w:p>
      <w:pPr>
        <w:adjustRightInd w:val="0"/>
        <w:snapToGrid w:val="0"/>
        <w:spacing w:line="600" w:lineRule="exact"/>
        <w:jc w:val="center"/>
        <w:rPr>
          <w:rFonts w:ascii="方正小标宋简体" w:eastAsia="方正小标宋简体"/>
          <w:sz w:val="44"/>
          <w:szCs w:val="44"/>
        </w:rPr>
      </w:pPr>
      <w:r>
        <w:rPr>
          <w:rFonts w:hint="eastAsia" w:ascii="方正小标宋简体" w:eastAsia="方正小标宋简体"/>
          <w:sz w:val="44"/>
          <w:szCs w:val="44"/>
        </w:rPr>
        <w:t>广州软件学院教学指导委员会章程</w:t>
      </w:r>
    </w:p>
    <w:p>
      <w:pPr>
        <w:spacing w:line="620" w:lineRule="exact"/>
        <w:jc w:val="center"/>
        <w:rPr>
          <w:rFonts w:ascii="黑体" w:hAnsi="黑体" w:eastAsia="黑体"/>
          <w:bCs/>
          <w:sz w:val="32"/>
          <w:szCs w:val="32"/>
        </w:rPr>
      </w:pPr>
    </w:p>
    <w:p>
      <w:pPr>
        <w:spacing w:line="560" w:lineRule="exact"/>
        <w:jc w:val="center"/>
        <w:rPr>
          <w:rFonts w:ascii="黑体" w:hAnsi="黑体" w:eastAsia="黑体"/>
          <w:bCs/>
          <w:sz w:val="32"/>
          <w:szCs w:val="32"/>
        </w:rPr>
      </w:pPr>
      <w:r>
        <w:rPr>
          <w:rFonts w:hint="eastAsia" w:ascii="黑体" w:hAnsi="黑体" w:eastAsia="黑体"/>
          <w:bCs/>
          <w:sz w:val="32"/>
          <w:szCs w:val="32"/>
        </w:rPr>
        <w:t>第一章   总则</w:t>
      </w:r>
    </w:p>
    <w:p>
      <w:pPr>
        <w:spacing w:line="560" w:lineRule="exact"/>
        <w:ind w:firstLine="640" w:firstLineChars="200"/>
        <w:rPr>
          <w:rFonts w:ascii="仿宋_GB2312" w:eastAsia="仿宋_GB2312"/>
          <w:sz w:val="32"/>
          <w:szCs w:val="32"/>
        </w:rPr>
      </w:pPr>
      <w:r>
        <w:rPr>
          <w:rFonts w:hint="eastAsia" w:ascii="黑体" w:hAnsi="黑体" w:eastAsia="黑体"/>
          <w:bCs/>
          <w:sz w:val="32"/>
          <w:szCs w:val="32"/>
        </w:rPr>
        <w:t>第一条</w:t>
      </w:r>
      <w:r>
        <w:rPr>
          <w:rFonts w:hint="eastAsia" w:ascii="仿宋_GB2312" w:eastAsia="仿宋_GB2312"/>
          <w:b/>
          <w:sz w:val="32"/>
          <w:szCs w:val="32"/>
        </w:rPr>
        <w:t xml:space="preserve"> </w:t>
      </w:r>
      <w:r>
        <w:rPr>
          <w:rFonts w:hint="eastAsia" w:ascii="仿宋_GB2312" w:eastAsia="仿宋_GB2312"/>
          <w:sz w:val="32"/>
          <w:szCs w:val="32"/>
        </w:rPr>
        <w:t xml:space="preserve"> 为贯彻落实教学工作中心地位，加强学校对教学工作的宏观指导与管理，推动教学建设与教学改革，进一步提高学校人才培养质量，依据《中华人民共和国高等教育法》《教育部高等学校教学指导委员会章程》和《广州软件学院章程》的精神与要求，结合学校实际，设立广州软件学院教学指导委员会，并制定本章程。</w:t>
      </w:r>
    </w:p>
    <w:p>
      <w:pPr>
        <w:spacing w:line="560" w:lineRule="exact"/>
        <w:ind w:firstLine="640" w:firstLineChars="200"/>
        <w:rPr>
          <w:rFonts w:ascii="仿宋_GB2312" w:eastAsia="仿宋_GB2312"/>
          <w:sz w:val="32"/>
          <w:szCs w:val="32"/>
        </w:rPr>
      </w:pPr>
      <w:r>
        <w:rPr>
          <w:rFonts w:hint="eastAsia" w:ascii="黑体" w:hAnsi="黑体" w:eastAsia="黑体"/>
          <w:bCs/>
          <w:sz w:val="32"/>
          <w:szCs w:val="32"/>
        </w:rPr>
        <w:t>第二条</w:t>
      </w:r>
      <w:r>
        <w:rPr>
          <w:rFonts w:hint="eastAsia" w:ascii="仿宋_GB2312" w:eastAsia="仿宋_GB2312"/>
          <w:b/>
          <w:sz w:val="32"/>
          <w:szCs w:val="32"/>
        </w:rPr>
        <w:t xml:space="preserve"> </w:t>
      </w:r>
      <w:r>
        <w:rPr>
          <w:rFonts w:hint="eastAsia" w:ascii="仿宋_GB2312" w:eastAsia="仿宋_GB2312"/>
          <w:sz w:val="32"/>
          <w:szCs w:val="32"/>
        </w:rPr>
        <w:t xml:space="preserve"> 教学指导委员会是校长领导下，对学校教育教学工作进行研究、咨询、指导、审议和服务的专家组织。</w:t>
      </w:r>
    </w:p>
    <w:p>
      <w:pPr>
        <w:spacing w:line="560" w:lineRule="exact"/>
        <w:ind w:firstLine="640" w:firstLineChars="200"/>
        <w:rPr>
          <w:rFonts w:ascii="仿宋_GB2312" w:eastAsia="仿宋_GB2312"/>
          <w:sz w:val="32"/>
          <w:szCs w:val="32"/>
        </w:rPr>
      </w:pPr>
      <w:r>
        <w:rPr>
          <w:rFonts w:hint="eastAsia" w:ascii="黑体" w:hAnsi="黑体" w:eastAsia="黑体"/>
          <w:bCs/>
          <w:sz w:val="32"/>
          <w:szCs w:val="32"/>
        </w:rPr>
        <w:t>第三条</w:t>
      </w:r>
      <w:r>
        <w:rPr>
          <w:rFonts w:hint="eastAsia" w:ascii="仿宋_GB2312" w:eastAsia="仿宋_GB2312"/>
          <w:sz w:val="32"/>
          <w:szCs w:val="32"/>
        </w:rPr>
        <w:t xml:space="preserve">  教学指导委员会在工作中应以习近平新时代中国特色社会主义思想为指导，全面贯彻落实全国教育大会和新时代全国高等学校本科教育工作会议精神，坚持“以本为本”，推进“四个回归”，落实立德树人根本任务。围绕全面提高学校人才培养能力，充分发挥参谋部、咨询团、指导组、推动队作用，培养德智体美劳全面发展的社会主义建设者和接班人。</w:t>
      </w:r>
    </w:p>
    <w:p>
      <w:pPr>
        <w:spacing w:line="560" w:lineRule="exact"/>
        <w:jc w:val="center"/>
        <w:rPr>
          <w:rFonts w:ascii="仿宋_GB2312" w:eastAsia="仿宋_GB2312"/>
          <w:b/>
          <w:sz w:val="32"/>
          <w:szCs w:val="32"/>
        </w:rPr>
      </w:pPr>
      <w:r>
        <w:rPr>
          <w:rFonts w:hint="eastAsia" w:ascii="黑体" w:hAnsi="黑体" w:eastAsia="黑体"/>
          <w:bCs/>
          <w:sz w:val="32"/>
          <w:szCs w:val="32"/>
        </w:rPr>
        <w:t>第二章  组织机构</w:t>
      </w:r>
    </w:p>
    <w:p>
      <w:pPr>
        <w:spacing w:line="560" w:lineRule="exact"/>
        <w:ind w:firstLine="640" w:firstLineChars="200"/>
        <w:rPr>
          <w:rFonts w:ascii="仿宋_GB2312" w:eastAsia="仿宋_GB2312"/>
          <w:sz w:val="32"/>
          <w:szCs w:val="32"/>
        </w:rPr>
      </w:pPr>
      <w:r>
        <w:rPr>
          <w:rFonts w:hint="eastAsia" w:ascii="黑体" w:hAnsi="黑体" w:eastAsia="黑体"/>
          <w:bCs/>
          <w:sz w:val="32"/>
          <w:szCs w:val="32"/>
        </w:rPr>
        <w:t>第四条</w:t>
      </w:r>
      <w:r>
        <w:rPr>
          <w:rFonts w:hint="eastAsia" w:ascii="仿宋_GB2312" w:eastAsia="仿宋_GB2312"/>
          <w:b/>
          <w:sz w:val="32"/>
          <w:szCs w:val="32"/>
        </w:rPr>
        <w:t xml:space="preserve">  </w:t>
      </w:r>
      <w:r>
        <w:rPr>
          <w:rFonts w:hint="eastAsia" w:ascii="仿宋_GB2312" w:eastAsia="仿宋_GB2312"/>
          <w:sz w:val="32"/>
          <w:szCs w:val="32"/>
        </w:rPr>
        <w:t>设立学校、学院两级教学指导委员会。学校教学指导委员会负责全校教学工作的议事和决策，学院教学指导委员会负责本学院教学工作的议事和决策，并接受学校教学指导委员会的工作指导和监督。</w:t>
      </w:r>
    </w:p>
    <w:p>
      <w:pPr>
        <w:spacing w:line="560" w:lineRule="exact"/>
        <w:ind w:firstLine="640" w:firstLineChars="200"/>
        <w:rPr>
          <w:rFonts w:ascii="仿宋_GB2312" w:eastAsia="仿宋_GB2312"/>
          <w:sz w:val="32"/>
          <w:szCs w:val="32"/>
        </w:rPr>
      </w:pPr>
      <w:r>
        <w:rPr>
          <w:rFonts w:hint="eastAsia" w:ascii="黑体" w:hAnsi="黑体" w:eastAsia="黑体"/>
          <w:bCs/>
          <w:sz w:val="32"/>
          <w:szCs w:val="32"/>
        </w:rPr>
        <w:t>第五条</w:t>
      </w:r>
      <w:r>
        <w:rPr>
          <w:rFonts w:hint="eastAsia" w:ascii="仿宋_GB2312" w:eastAsia="仿宋_GB2312"/>
          <w:sz w:val="32"/>
          <w:szCs w:val="32"/>
        </w:rPr>
        <w:t xml:space="preserve">  学校教学指导委员会组织机构</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（一）学校教学指导委员会人数为不低于17人的单数。主管教学工作的校领导，相应职能部门和各学院的负责人为当然委员。其他委员由校教学指导委员会主任提名，报校长办公会议审定。</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（二）学校教学指导委员会设主任委员1名，副主任委员1名。主任委员由分管教学的校领导担任，副主任委员由教务处处长担任。</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（三）学校教学指导委员会下设办公室，与教务处合署办公；设兼职秘书1名负责处理学校教学指导委员会日常事务和教学指导委员会议的组织工作。</w:t>
      </w:r>
    </w:p>
    <w:p>
      <w:pPr>
        <w:spacing w:line="560" w:lineRule="exact"/>
        <w:ind w:firstLine="640" w:firstLineChars="200"/>
        <w:rPr>
          <w:rFonts w:ascii="仿宋_GB2312" w:eastAsia="仿宋_GB2312"/>
          <w:sz w:val="32"/>
          <w:szCs w:val="32"/>
        </w:rPr>
      </w:pPr>
      <w:r>
        <w:rPr>
          <w:rFonts w:hint="eastAsia" w:ascii="黑体" w:hAnsi="黑体" w:eastAsia="黑体"/>
          <w:bCs/>
          <w:sz w:val="32"/>
          <w:szCs w:val="32"/>
        </w:rPr>
        <w:t>第六条</w:t>
      </w:r>
      <w:r>
        <w:rPr>
          <w:rFonts w:hint="eastAsia" w:ascii="仿宋_GB2312" w:eastAsia="仿宋_GB2312"/>
          <w:sz w:val="32"/>
          <w:szCs w:val="32"/>
        </w:rPr>
        <w:t xml:space="preserve">  学院教学指导委员会组织机构</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（一）学院教学指导委员会人数为不低于7人的单数。委员专业背景应涵盖本学院主要学科专业。</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学院教学指导委员会设主任委员1名，副主任委员1名。主任委员原则上由学院负责人担任，副主任委员及委员由主任委员提名，并经院长办公会议审定。设兼职秘书1名，负责处理学院教学指导委员会日常事务。</w:t>
      </w:r>
    </w:p>
    <w:p>
      <w:pPr>
        <w:spacing w:line="560" w:lineRule="exact"/>
        <w:ind w:firstLine="640" w:firstLineChars="200"/>
        <w:rPr>
          <w:rFonts w:ascii="仿宋_GB2312" w:eastAsia="仿宋_GB2312"/>
          <w:sz w:val="32"/>
          <w:szCs w:val="32"/>
        </w:rPr>
      </w:pPr>
      <w:r>
        <w:rPr>
          <w:rFonts w:hint="eastAsia" w:ascii="黑体" w:hAnsi="黑体" w:eastAsia="黑体"/>
          <w:bCs/>
          <w:sz w:val="32"/>
          <w:szCs w:val="32"/>
        </w:rPr>
        <w:t>第七条</w:t>
      </w:r>
      <w:r>
        <w:rPr>
          <w:rFonts w:hint="eastAsia" w:ascii="仿宋_GB2312" w:eastAsia="仿宋_GB2312"/>
          <w:sz w:val="32"/>
          <w:szCs w:val="32"/>
        </w:rPr>
        <w:t xml:space="preserve">  学校教学指导委员会实行聘任制，每届任期四年。届中若有委员变动，可适时增补或调整委员。委员需增补、调整时，校领导及职能部门负责人为委员人选的，以职务替代原则更换，其他委员的调整按第五条执行。学院教学指导委员会参照执行。</w:t>
      </w:r>
    </w:p>
    <w:p>
      <w:pPr>
        <w:spacing w:line="560" w:lineRule="exact"/>
        <w:ind w:firstLine="640" w:firstLineChars="200"/>
        <w:rPr>
          <w:rFonts w:ascii="仿宋_GB2312" w:eastAsia="仿宋_GB2312"/>
          <w:sz w:val="32"/>
          <w:szCs w:val="32"/>
        </w:rPr>
      </w:pPr>
      <w:r>
        <w:rPr>
          <w:rFonts w:hint="eastAsia" w:ascii="黑体" w:hAnsi="黑体" w:eastAsia="黑体"/>
          <w:bCs/>
          <w:sz w:val="32"/>
          <w:szCs w:val="32"/>
        </w:rPr>
        <w:t>第八条</w:t>
      </w:r>
      <w:r>
        <w:rPr>
          <w:rFonts w:hint="eastAsia" w:ascii="仿宋_GB2312" w:eastAsia="仿宋_GB2312"/>
          <w:b/>
          <w:sz w:val="32"/>
          <w:szCs w:val="32"/>
        </w:rPr>
        <w:t xml:space="preserve">  </w:t>
      </w:r>
      <w:r>
        <w:rPr>
          <w:rFonts w:hint="eastAsia" w:ascii="仿宋_GB2312" w:eastAsia="仿宋_GB2312"/>
          <w:sz w:val="32"/>
          <w:szCs w:val="32"/>
        </w:rPr>
        <w:t>教学指导委员会委员应具备以下条件：</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（一）政治立场坚定，遵纪守法，能全面贯彻党的教育方针，深刻理解和把握高等教育有关政策和教育教学规律；</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（二）原则上应具有高级专业技术职务，熟悉人才培养规律和学校教育教学基本状况，具有丰富的教学或教学管理经验；</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（三）师德高尚，为人正派，学风端正，治学严谨；坚持原则，顾全大局，责任心强，办事公正；</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（四）关心学校建设和发展，有参与学校教学与管理工作的热情和精力，并具有较强的议事能力和决策能力；</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（五）身体健康，能够正常履行教学指导委员会职责。</w:t>
      </w:r>
    </w:p>
    <w:p>
      <w:pPr>
        <w:spacing w:line="560" w:lineRule="exact"/>
        <w:ind w:firstLine="640" w:firstLineChars="200"/>
        <w:rPr>
          <w:rFonts w:ascii="仿宋_GB2312" w:eastAsia="仿宋_GB2312"/>
          <w:sz w:val="32"/>
          <w:szCs w:val="32"/>
        </w:rPr>
      </w:pPr>
      <w:r>
        <w:rPr>
          <w:rFonts w:hint="eastAsia" w:ascii="黑体" w:hAnsi="黑体" w:eastAsia="黑体"/>
          <w:bCs/>
          <w:sz w:val="32"/>
          <w:szCs w:val="32"/>
        </w:rPr>
        <w:t>第九条</w:t>
      </w:r>
      <w:r>
        <w:rPr>
          <w:rFonts w:hint="eastAsia" w:ascii="仿宋_GB2312" w:eastAsia="仿宋_GB2312"/>
          <w:b/>
          <w:sz w:val="32"/>
          <w:szCs w:val="32"/>
        </w:rPr>
        <w:t xml:space="preserve">  </w:t>
      </w:r>
      <w:r>
        <w:rPr>
          <w:rFonts w:hint="eastAsia" w:ascii="仿宋_GB2312" w:eastAsia="仿宋_GB2312"/>
          <w:sz w:val="32"/>
          <w:szCs w:val="32"/>
        </w:rPr>
        <w:t>教学指导委员会委会在任期内有以下情形之一者，经主任委员提议，所在教学指导委员会研究通过，可免去或同意其辞去委员职务：</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（一）主动申请辞去委员职务的；</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（二）受到党纪、政纪处分或被依法追究法律责任的；</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（三）违反教师职业道德或经认定出现教学事故的；</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（四）怠于履行职责或累计三次无正当理由缺席委员会会议的；</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（五）因退休、离职、调岗等原因不能履行委员职责的。</w:t>
      </w:r>
    </w:p>
    <w:p>
      <w:pPr>
        <w:spacing w:line="560" w:lineRule="exact"/>
        <w:jc w:val="center"/>
        <w:rPr>
          <w:rFonts w:ascii="仿宋_GB2312" w:eastAsia="仿宋_GB2312"/>
          <w:b/>
          <w:sz w:val="32"/>
          <w:szCs w:val="32"/>
        </w:rPr>
      </w:pPr>
      <w:r>
        <w:rPr>
          <w:rFonts w:hint="eastAsia" w:ascii="黑体" w:hAnsi="黑体" w:eastAsia="黑体"/>
          <w:bCs/>
          <w:sz w:val="32"/>
          <w:szCs w:val="32"/>
        </w:rPr>
        <w:t>第三章  职责权限</w:t>
      </w:r>
    </w:p>
    <w:p>
      <w:pPr>
        <w:spacing w:line="560" w:lineRule="exact"/>
        <w:ind w:firstLine="640" w:firstLineChars="200"/>
        <w:rPr>
          <w:rFonts w:ascii="仿宋_GB2312" w:eastAsia="仿宋_GB2312"/>
          <w:b/>
          <w:sz w:val="32"/>
          <w:szCs w:val="32"/>
        </w:rPr>
      </w:pPr>
      <w:r>
        <w:rPr>
          <w:rFonts w:hint="eastAsia" w:ascii="黑体" w:hAnsi="黑体" w:eastAsia="黑体"/>
          <w:bCs/>
          <w:sz w:val="32"/>
          <w:szCs w:val="32"/>
        </w:rPr>
        <w:t>第十条</w:t>
      </w:r>
      <w:r>
        <w:rPr>
          <w:rFonts w:hint="eastAsia" w:ascii="仿宋_GB2312" w:eastAsia="仿宋_GB2312"/>
          <w:b/>
          <w:sz w:val="32"/>
          <w:szCs w:val="32"/>
        </w:rPr>
        <w:t xml:space="preserve">  </w:t>
      </w:r>
      <w:r>
        <w:rPr>
          <w:rFonts w:hint="eastAsia" w:ascii="仿宋_GB2312" w:eastAsia="仿宋_GB2312"/>
          <w:bCs/>
          <w:sz w:val="32"/>
          <w:szCs w:val="32"/>
        </w:rPr>
        <w:t>学校教学指导委员会的主要职责：</w:t>
      </w:r>
    </w:p>
    <w:p>
      <w:pPr>
        <w:spacing w:line="560" w:lineRule="exact"/>
        <w:ind w:firstLine="640" w:firstLineChars="200"/>
        <w:rPr>
          <w:rFonts w:ascii="仿宋_GB2312" w:eastAsia="仿宋_GB2312"/>
          <w:b/>
          <w:sz w:val="32"/>
          <w:szCs w:val="32"/>
        </w:rPr>
      </w:pPr>
      <w:r>
        <w:rPr>
          <w:rFonts w:hint="eastAsia" w:ascii="仿宋_GB2312" w:eastAsia="仿宋_GB2312"/>
          <w:sz w:val="32"/>
          <w:szCs w:val="32"/>
        </w:rPr>
        <w:t>（一）研究教育教学改革和发展的战略规划和重大议题，并提供决策咨询和建议；</w:t>
      </w:r>
    </w:p>
    <w:p>
      <w:pPr>
        <w:spacing w:line="560" w:lineRule="exact"/>
        <w:ind w:firstLine="640" w:firstLineChars="200"/>
        <w:rPr>
          <w:rFonts w:ascii="仿宋_GB2312" w:eastAsia="仿宋_GB2312"/>
          <w:b/>
          <w:sz w:val="32"/>
          <w:szCs w:val="32"/>
        </w:rPr>
      </w:pPr>
      <w:r>
        <w:rPr>
          <w:rFonts w:hint="eastAsia" w:ascii="仿宋_GB2312" w:eastAsia="仿宋_GB2312"/>
          <w:sz w:val="32"/>
          <w:szCs w:val="32"/>
        </w:rPr>
        <w:t>（二）审议（定）教学管理规章制度，对完善学校教学管理体制和教学管理措施提出意见和建议；</w:t>
      </w:r>
    </w:p>
    <w:p>
      <w:pPr>
        <w:spacing w:line="560" w:lineRule="exact"/>
        <w:ind w:firstLine="640" w:firstLineChars="200"/>
        <w:rPr>
          <w:rFonts w:ascii="仿宋_GB2312" w:eastAsia="仿宋_GB2312"/>
          <w:b/>
          <w:sz w:val="32"/>
          <w:szCs w:val="32"/>
        </w:rPr>
      </w:pPr>
      <w:r>
        <w:rPr>
          <w:rFonts w:hint="eastAsia" w:ascii="仿宋_GB2312" w:eastAsia="仿宋_GB2312"/>
          <w:sz w:val="32"/>
          <w:szCs w:val="32"/>
        </w:rPr>
        <w:t>（三）审议本科招生计划、专业建设、课程建设、教材建设、教师教学能力、实验室建设、实习基地建设等本科教学工作；</w:t>
      </w:r>
    </w:p>
    <w:p>
      <w:pPr>
        <w:spacing w:line="560" w:lineRule="exact"/>
        <w:ind w:firstLine="640" w:firstLineChars="200"/>
        <w:rPr>
          <w:rFonts w:ascii="仿宋_GB2312" w:eastAsia="仿宋_GB2312"/>
          <w:b/>
          <w:sz w:val="32"/>
          <w:szCs w:val="32"/>
        </w:rPr>
      </w:pPr>
      <w:r>
        <w:rPr>
          <w:rFonts w:hint="eastAsia" w:ascii="仿宋_GB2312" w:eastAsia="仿宋_GB2312"/>
          <w:sz w:val="32"/>
          <w:szCs w:val="32"/>
        </w:rPr>
        <w:t>（四）审议评定重要教学荣誉和奖励项目；</w:t>
      </w:r>
    </w:p>
    <w:p>
      <w:pPr>
        <w:spacing w:line="560" w:lineRule="exact"/>
        <w:ind w:firstLine="640" w:firstLineChars="200"/>
        <w:rPr>
          <w:rFonts w:ascii="仿宋_GB2312" w:eastAsia="仿宋_GB2312"/>
          <w:b/>
          <w:sz w:val="32"/>
          <w:szCs w:val="32"/>
        </w:rPr>
      </w:pPr>
      <w:r>
        <w:rPr>
          <w:rFonts w:hint="eastAsia" w:ascii="仿宋_GB2312" w:eastAsia="仿宋_GB2312"/>
          <w:sz w:val="32"/>
          <w:szCs w:val="32"/>
        </w:rPr>
        <w:t>（五）研究并指导学校开展教学改革，包括教学内容、课程体系、教学方法与手段改革等；</w:t>
      </w:r>
    </w:p>
    <w:p>
      <w:pPr>
        <w:spacing w:line="560" w:lineRule="exact"/>
        <w:ind w:firstLine="640" w:firstLineChars="200"/>
        <w:rPr>
          <w:rFonts w:ascii="仿宋_GB2312" w:eastAsia="仿宋_GB2312"/>
          <w:b/>
          <w:sz w:val="32"/>
          <w:szCs w:val="32"/>
        </w:rPr>
      </w:pPr>
      <w:r>
        <w:rPr>
          <w:rFonts w:hint="eastAsia" w:ascii="仿宋_GB2312" w:eastAsia="仿宋_GB2312"/>
          <w:sz w:val="32"/>
          <w:szCs w:val="32"/>
        </w:rPr>
        <w:t>（六）指导各学院教学指导委员会开展工作；</w:t>
      </w:r>
    </w:p>
    <w:p>
      <w:pPr>
        <w:spacing w:line="560" w:lineRule="exact"/>
        <w:ind w:firstLine="640" w:firstLineChars="200"/>
        <w:rPr>
          <w:rFonts w:ascii="仿宋_GB2312" w:eastAsia="仿宋_GB2312"/>
          <w:b/>
          <w:sz w:val="32"/>
          <w:szCs w:val="32"/>
        </w:rPr>
      </w:pPr>
      <w:r>
        <w:rPr>
          <w:rFonts w:hint="eastAsia" w:ascii="仿宋_GB2312" w:eastAsia="仿宋_GB2312"/>
          <w:sz w:val="32"/>
          <w:szCs w:val="32"/>
        </w:rPr>
        <w:t>（七）监督教风、学风建设，并提出意见与建议；</w:t>
      </w:r>
    </w:p>
    <w:p>
      <w:pPr>
        <w:spacing w:line="560" w:lineRule="exact"/>
        <w:ind w:firstLine="640" w:firstLineChars="200"/>
        <w:rPr>
          <w:rFonts w:ascii="仿宋_GB2312" w:eastAsia="仿宋_GB2312"/>
          <w:b/>
          <w:sz w:val="32"/>
          <w:szCs w:val="32"/>
        </w:rPr>
      </w:pPr>
      <w:r>
        <w:rPr>
          <w:rFonts w:hint="eastAsia" w:ascii="仿宋_GB2312" w:eastAsia="仿宋_GB2312"/>
          <w:sz w:val="32"/>
          <w:szCs w:val="32"/>
        </w:rPr>
        <w:t>（八）裁定有关教学事故或教学评估中的争议；</w:t>
      </w:r>
    </w:p>
    <w:p>
      <w:pPr>
        <w:spacing w:line="560" w:lineRule="exact"/>
        <w:ind w:firstLine="640" w:firstLineChars="200"/>
        <w:rPr>
          <w:rFonts w:ascii="仿宋_GB2312" w:eastAsia="仿宋_GB2312"/>
          <w:b/>
          <w:sz w:val="32"/>
          <w:szCs w:val="32"/>
        </w:rPr>
      </w:pPr>
      <w:r>
        <w:rPr>
          <w:rFonts w:hint="eastAsia" w:ascii="仿宋_GB2312" w:eastAsia="仿宋_GB2312"/>
          <w:sz w:val="32"/>
          <w:szCs w:val="32"/>
        </w:rPr>
        <w:t>（九）审议学校委托的其他有关教育教学事项。</w:t>
      </w:r>
    </w:p>
    <w:p>
      <w:pPr>
        <w:spacing w:line="560" w:lineRule="exact"/>
        <w:ind w:firstLine="640" w:firstLineChars="200"/>
        <w:rPr>
          <w:rFonts w:ascii="仿宋_GB2312" w:eastAsia="仿宋_GB2312"/>
          <w:sz w:val="32"/>
          <w:szCs w:val="32"/>
        </w:rPr>
      </w:pPr>
      <w:r>
        <w:rPr>
          <w:rFonts w:hint="eastAsia" w:ascii="黑体" w:hAnsi="黑体" w:eastAsia="黑体"/>
          <w:bCs/>
          <w:sz w:val="32"/>
          <w:szCs w:val="32"/>
        </w:rPr>
        <w:t>第十一条</w:t>
      </w:r>
      <w:r>
        <w:rPr>
          <w:rFonts w:hint="eastAsia" w:ascii="仿宋_GB2312" w:eastAsia="仿宋_GB2312"/>
          <w:sz w:val="32"/>
          <w:szCs w:val="32"/>
        </w:rPr>
        <w:t xml:space="preserve"> 学院教学指导委员会工作职责参照第十条执行。</w:t>
      </w:r>
    </w:p>
    <w:p>
      <w:pPr>
        <w:spacing w:line="560" w:lineRule="exact"/>
        <w:jc w:val="center"/>
        <w:rPr>
          <w:rFonts w:ascii="仿宋_GB2312" w:eastAsia="仿宋_GB2312"/>
          <w:b/>
          <w:sz w:val="32"/>
          <w:szCs w:val="32"/>
        </w:rPr>
      </w:pPr>
      <w:r>
        <w:rPr>
          <w:rFonts w:hint="eastAsia" w:ascii="黑体" w:hAnsi="黑体" w:eastAsia="黑体"/>
          <w:bCs/>
          <w:sz w:val="32"/>
          <w:szCs w:val="32"/>
        </w:rPr>
        <w:t>第四章  议事规则</w:t>
      </w:r>
    </w:p>
    <w:p>
      <w:pPr>
        <w:spacing w:line="560" w:lineRule="exact"/>
        <w:ind w:firstLine="640" w:firstLineChars="200"/>
        <w:rPr>
          <w:rFonts w:ascii="仿宋_GB2312" w:eastAsia="仿宋_GB2312"/>
          <w:sz w:val="32"/>
          <w:szCs w:val="32"/>
        </w:rPr>
      </w:pPr>
      <w:r>
        <w:rPr>
          <w:rFonts w:hint="eastAsia" w:ascii="黑体" w:hAnsi="黑体" w:eastAsia="黑体"/>
          <w:bCs/>
          <w:sz w:val="32"/>
          <w:szCs w:val="32"/>
        </w:rPr>
        <w:t>第十二条</w:t>
      </w:r>
      <w:r>
        <w:rPr>
          <w:rFonts w:hint="eastAsia" w:ascii="仿宋_GB2312" w:eastAsia="仿宋_GB2312"/>
          <w:sz w:val="32"/>
          <w:szCs w:val="32"/>
        </w:rPr>
        <w:t xml:space="preserve">  学校教学指导委员会根据实际工作需要，每年召开全体委员会议或专项工作小组会议。学校教学指导委员会会议由主任委员或由主任委员委托副主任委员召集。特殊情况下可以通讯会议方式开展工作。</w:t>
      </w:r>
    </w:p>
    <w:p>
      <w:pPr>
        <w:spacing w:line="560" w:lineRule="exact"/>
        <w:ind w:firstLine="640" w:firstLineChars="200"/>
        <w:rPr>
          <w:rFonts w:ascii="仿宋_GB2312" w:eastAsia="仿宋_GB2312"/>
          <w:sz w:val="32"/>
          <w:szCs w:val="32"/>
        </w:rPr>
      </w:pPr>
      <w:r>
        <w:rPr>
          <w:rFonts w:hint="eastAsia" w:ascii="黑体" w:hAnsi="黑体" w:eastAsia="黑体"/>
          <w:bCs/>
          <w:sz w:val="32"/>
          <w:szCs w:val="32"/>
        </w:rPr>
        <w:t>第十三条</w:t>
      </w:r>
      <w:r>
        <w:rPr>
          <w:rFonts w:hint="eastAsia" w:ascii="仿宋_GB2312" w:eastAsia="仿宋_GB2312"/>
          <w:sz w:val="32"/>
          <w:szCs w:val="32"/>
        </w:rPr>
        <w:t xml:space="preserve">  学校教学指导委员会会议须到会委员达到或超过三分之二方可召开。会议由主任委员主持，主任委员因故不能主持会议时，可委托副主任委员代为主持。</w:t>
      </w:r>
    </w:p>
    <w:p>
      <w:pPr>
        <w:spacing w:line="560" w:lineRule="exact"/>
        <w:ind w:firstLine="640" w:firstLineChars="200"/>
        <w:rPr>
          <w:rFonts w:ascii="仿宋_GB2312" w:eastAsia="仿宋_GB2312"/>
          <w:sz w:val="32"/>
          <w:szCs w:val="32"/>
        </w:rPr>
      </w:pPr>
      <w:r>
        <w:rPr>
          <w:rFonts w:hint="eastAsia" w:ascii="黑体" w:hAnsi="黑体" w:eastAsia="黑体"/>
          <w:bCs/>
          <w:sz w:val="32"/>
          <w:szCs w:val="32"/>
        </w:rPr>
        <w:t>第十四条</w:t>
      </w:r>
      <w:r>
        <w:rPr>
          <w:rFonts w:hint="eastAsia" w:ascii="仿宋_GB2312" w:eastAsia="仿宋_GB2312"/>
          <w:sz w:val="32"/>
          <w:szCs w:val="32"/>
        </w:rPr>
        <w:t xml:space="preserve">  学校教学指导委员会决议事项实行少数服从多数的原则，一般采用无记名投票（必要时也可记名投票）方式进行表决。需表决事项，与会委员三分之二及以上同意方可通过。</w:t>
      </w:r>
    </w:p>
    <w:p>
      <w:pPr>
        <w:spacing w:line="560" w:lineRule="exact"/>
        <w:ind w:firstLine="640" w:firstLineChars="200"/>
        <w:rPr>
          <w:rFonts w:ascii="仿宋_GB2312" w:eastAsia="仿宋_GB2312"/>
          <w:sz w:val="32"/>
          <w:szCs w:val="32"/>
        </w:rPr>
      </w:pPr>
      <w:r>
        <w:rPr>
          <w:rFonts w:hint="eastAsia" w:ascii="黑体" w:hAnsi="黑体" w:eastAsia="黑体"/>
          <w:bCs/>
          <w:sz w:val="32"/>
          <w:szCs w:val="32"/>
        </w:rPr>
        <w:t>第十五条</w:t>
      </w:r>
      <w:r>
        <w:rPr>
          <w:rFonts w:hint="eastAsia" w:ascii="仿宋_GB2312" w:eastAsia="仿宋_GB2312"/>
          <w:sz w:val="32"/>
          <w:szCs w:val="32"/>
        </w:rPr>
        <w:t xml:space="preserve">  学校教学指导委员会委员不得无故缺席教学指导委员会会议，不能出席者应事先向教学指导委员会办公室请假。委员未出席教学指导委员会会议的，视为放弃在该次会议上的投票权力。</w:t>
      </w:r>
    </w:p>
    <w:p>
      <w:pPr>
        <w:spacing w:line="560" w:lineRule="exact"/>
        <w:ind w:firstLine="640" w:firstLineChars="200"/>
        <w:rPr>
          <w:rFonts w:ascii="仿宋_GB2312" w:eastAsia="仿宋_GB2312"/>
          <w:sz w:val="32"/>
          <w:szCs w:val="32"/>
        </w:rPr>
      </w:pPr>
      <w:r>
        <w:rPr>
          <w:rFonts w:hint="eastAsia" w:ascii="黑体" w:hAnsi="黑体" w:eastAsia="黑体"/>
          <w:bCs/>
          <w:sz w:val="32"/>
          <w:szCs w:val="32"/>
        </w:rPr>
        <w:t>第十六条</w:t>
      </w:r>
      <w:r>
        <w:rPr>
          <w:rFonts w:hint="eastAsia" w:ascii="仿宋_GB2312" w:eastAsia="仿宋_GB2312"/>
          <w:sz w:val="32"/>
          <w:szCs w:val="32"/>
        </w:rPr>
        <w:t xml:space="preserve">  学校教学指导委员会实行回避制度。在审议、审定或评议与委员本人及其配偶或其他直系亲属有关事项时，相关委员必须回避。</w:t>
      </w:r>
    </w:p>
    <w:p>
      <w:pPr>
        <w:spacing w:line="560" w:lineRule="exact"/>
        <w:ind w:firstLine="640" w:firstLineChars="200"/>
        <w:rPr>
          <w:rFonts w:ascii="仿宋_GB2312" w:eastAsia="仿宋_GB2312"/>
          <w:sz w:val="32"/>
          <w:szCs w:val="32"/>
        </w:rPr>
        <w:sectPr>
          <w:footerReference r:id="rId3" w:type="even"/>
          <w:pgSz w:w="11906" w:h="16838"/>
          <w:pgMar w:top="1418" w:right="1418" w:bottom="1418" w:left="1418" w:header="851" w:footer="992" w:gutter="0"/>
          <w:pgNumType w:start="2"/>
          <w:cols w:space="425" w:num="1"/>
          <w:docGrid w:type="lines" w:linePitch="312" w:charSpace="0"/>
        </w:sectPr>
      </w:pPr>
      <w:r>
        <w:rPr>
          <w:rFonts w:hint="eastAsia" w:ascii="黑体" w:hAnsi="黑体" w:eastAsia="黑体"/>
          <w:bCs/>
          <w:sz w:val="32"/>
          <w:szCs w:val="32"/>
        </w:rPr>
        <w:t>第十七条</w:t>
      </w:r>
      <w:r>
        <w:rPr>
          <w:rFonts w:hint="eastAsia" w:ascii="仿宋_GB2312" w:eastAsia="仿宋_GB2312"/>
          <w:sz w:val="32"/>
          <w:szCs w:val="32"/>
        </w:rPr>
        <w:t xml:space="preserve">  根据会议议题，可邀请相关人员列席。列席人员</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具有旁听权和陈述权，不具有表决权，其意见可供教学指导委员会决策时参考。</w:t>
      </w:r>
    </w:p>
    <w:p>
      <w:pPr>
        <w:spacing w:line="560" w:lineRule="exact"/>
        <w:ind w:firstLine="640" w:firstLineChars="200"/>
        <w:rPr>
          <w:rFonts w:ascii="仿宋_GB2312" w:eastAsia="仿宋_GB2312"/>
          <w:sz w:val="32"/>
          <w:szCs w:val="32"/>
        </w:rPr>
      </w:pPr>
      <w:r>
        <w:rPr>
          <w:rFonts w:hint="eastAsia" w:ascii="黑体" w:hAnsi="黑体" w:eastAsia="黑体"/>
          <w:bCs/>
          <w:sz w:val="32"/>
          <w:szCs w:val="32"/>
        </w:rPr>
        <w:t>第十八条</w:t>
      </w:r>
      <w:r>
        <w:rPr>
          <w:rFonts w:hint="eastAsia" w:ascii="仿宋_GB2312" w:eastAsia="仿宋_GB2312"/>
          <w:sz w:val="32"/>
          <w:szCs w:val="32"/>
        </w:rPr>
        <w:t xml:space="preserve">  相关机构和个人对学校教学指导委员会的评定结果有异议时，可向学校教学指导委员会办公室提出书面申请复议，学校教学指导委员会应在5个工作日内成立权威和中立的专门工作组，工作组在成立之日起15个工作日内出具处理结果并予以公示。如有必要，经1/3及以上委员同意，可召开全体会议复议。经复议的决定为终局结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申述人如对学校教学指导委员会终局结论仍不服，可逐级向学校及上级部门进行申诉。</w:t>
      </w:r>
    </w:p>
    <w:p>
      <w:pPr>
        <w:spacing w:line="560" w:lineRule="exact"/>
        <w:ind w:firstLine="640" w:firstLineChars="200"/>
        <w:rPr>
          <w:rFonts w:ascii="仿宋_GB2312" w:eastAsia="仿宋_GB2312"/>
          <w:sz w:val="32"/>
          <w:szCs w:val="32"/>
        </w:rPr>
      </w:pPr>
      <w:r>
        <w:rPr>
          <w:rFonts w:hint="eastAsia" w:ascii="黑体" w:hAnsi="黑体" w:eastAsia="黑体"/>
          <w:bCs/>
          <w:sz w:val="32"/>
          <w:szCs w:val="32"/>
        </w:rPr>
        <w:t>第十九条</w:t>
      </w:r>
      <w:r>
        <w:rPr>
          <w:rFonts w:hint="eastAsia" w:ascii="仿宋_GB2312" w:eastAsia="仿宋_GB2312"/>
          <w:b/>
          <w:sz w:val="32"/>
          <w:szCs w:val="32"/>
        </w:rPr>
        <w:t xml:space="preserve">  </w:t>
      </w:r>
      <w:r>
        <w:rPr>
          <w:rFonts w:hint="eastAsia" w:ascii="仿宋_GB2312" w:eastAsia="仿宋_GB2312"/>
          <w:sz w:val="32"/>
          <w:szCs w:val="32"/>
        </w:rPr>
        <w:t>学校教学指导委员会作出的相关决议，需要学校职能部门或有关学院处理的，应及时送达相关部门或单位；重要事项的处理意见建议，应及时报学校研究决定。</w:t>
      </w:r>
    </w:p>
    <w:p>
      <w:pPr>
        <w:spacing w:line="560" w:lineRule="exact"/>
        <w:ind w:firstLine="640" w:firstLineChars="200"/>
        <w:rPr>
          <w:rFonts w:ascii="仿宋_GB2312" w:eastAsia="仿宋_GB2312"/>
          <w:b/>
          <w:sz w:val="32"/>
          <w:szCs w:val="32"/>
        </w:rPr>
      </w:pPr>
      <w:r>
        <w:rPr>
          <w:rFonts w:hint="eastAsia" w:ascii="黑体" w:hAnsi="黑体" w:eastAsia="黑体"/>
          <w:bCs/>
          <w:sz w:val="32"/>
          <w:szCs w:val="32"/>
        </w:rPr>
        <w:t>第二十条</w:t>
      </w:r>
      <w:r>
        <w:rPr>
          <w:rFonts w:hint="eastAsia" w:ascii="仿宋_GB2312" w:eastAsia="仿宋_GB2312"/>
          <w:b/>
          <w:sz w:val="32"/>
          <w:szCs w:val="32"/>
        </w:rPr>
        <w:t xml:space="preserve">  </w:t>
      </w:r>
      <w:r>
        <w:rPr>
          <w:rFonts w:hint="eastAsia" w:ascii="仿宋_GB2312" w:eastAsia="仿宋_GB2312"/>
          <w:sz w:val="32"/>
          <w:szCs w:val="32"/>
        </w:rPr>
        <w:t>学院教学指导委员会议事规则参考学校教学指导委员会执行。</w:t>
      </w:r>
    </w:p>
    <w:p>
      <w:pPr>
        <w:spacing w:line="560" w:lineRule="exact"/>
        <w:jc w:val="center"/>
        <w:rPr>
          <w:rFonts w:ascii="仿宋_GB2312" w:eastAsia="仿宋_GB2312"/>
          <w:b/>
          <w:sz w:val="32"/>
          <w:szCs w:val="32"/>
        </w:rPr>
      </w:pPr>
      <w:r>
        <w:rPr>
          <w:rFonts w:hint="eastAsia" w:ascii="黑体" w:hAnsi="黑体" w:eastAsia="黑体"/>
          <w:bCs/>
          <w:sz w:val="32"/>
          <w:szCs w:val="32"/>
        </w:rPr>
        <w:t>第五章  附则</w:t>
      </w:r>
    </w:p>
    <w:p>
      <w:pPr>
        <w:spacing w:line="560" w:lineRule="exact"/>
        <w:ind w:firstLine="640" w:firstLineChars="200"/>
        <w:rPr>
          <w:rFonts w:ascii="仿宋_GB2312" w:eastAsia="仿宋_GB2312"/>
          <w:sz w:val="32"/>
          <w:szCs w:val="32"/>
        </w:rPr>
      </w:pPr>
      <w:r>
        <w:rPr>
          <w:rFonts w:hint="eastAsia" w:ascii="黑体" w:hAnsi="黑体" w:eastAsia="黑体"/>
          <w:bCs/>
          <w:sz w:val="32"/>
          <w:szCs w:val="32"/>
        </w:rPr>
        <w:t>第二十一条</w:t>
      </w:r>
      <w:r>
        <w:rPr>
          <w:rFonts w:hint="eastAsia" w:ascii="仿宋_GB2312" w:eastAsia="仿宋_GB2312"/>
          <w:sz w:val="32"/>
          <w:szCs w:val="32"/>
        </w:rPr>
        <w:t xml:space="preserve">  学院教学指导委员会根据本章程制定工作细则，明确人员组成、工作职责、议事范围、议事规则等，并报学校教学指导委员会审批。</w:t>
      </w:r>
    </w:p>
    <w:p>
      <w:pPr>
        <w:spacing w:line="560" w:lineRule="exact"/>
        <w:ind w:firstLine="640" w:firstLineChars="200"/>
        <w:rPr>
          <w:rFonts w:hint="eastAsia" w:ascii="仿宋_GB2312" w:eastAsia="仿宋_GB2312"/>
          <w:sz w:val="32"/>
          <w:szCs w:val="32"/>
        </w:rPr>
      </w:pPr>
      <w:r>
        <w:rPr>
          <w:rFonts w:hint="eastAsia" w:ascii="黑体" w:hAnsi="黑体" w:eastAsia="黑体"/>
          <w:bCs/>
          <w:sz w:val="32"/>
          <w:szCs w:val="32"/>
        </w:rPr>
        <w:t>第二十二条</w:t>
      </w:r>
      <w:r>
        <w:rPr>
          <w:rFonts w:hint="eastAsia" w:ascii="仿宋_GB2312" w:eastAsia="仿宋_GB2312"/>
          <w:sz w:val="32"/>
          <w:szCs w:val="32"/>
        </w:rPr>
        <w:t xml:space="preserve">  本章程自公布之日起实行。原《广州软件学院教学指导委员会章程》（广软〔2022〕23号第99项）同时废止。本章程由学校教学指导委员会负责解释。</w:t>
      </w: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bookmarkStart w:id="0" w:name="_GoBack"/>
      <w:bookmarkEnd w:id="0"/>
    </w:p>
    <w:p>
      <w:pPr>
        <w:spacing w:line="560" w:lineRule="exact"/>
        <w:ind w:firstLine="640" w:firstLineChars="200"/>
        <w:rPr>
          <w:rFonts w:hint="eastAsia" w:ascii="仿宋_GB2312" w:eastAsia="仿宋_GB2312"/>
          <w:sz w:val="32"/>
          <w:szCs w:val="32"/>
        </w:rPr>
      </w:pPr>
    </w:p>
    <w:p>
      <w:pPr>
        <w:spacing w:line="560" w:lineRule="exact"/>
        <w:rPr>
          <w:rFonts w:hint="eastAsia" w:ascii="仿宋_GB2312" w:eastAsia="仿宋_GB2312"/>
          <w:sz w:val="32"/>
          <w:szCs w:val="32"/>
        </w:rPr>
      </w:pPr>
    </w:p>
    <w:p>
      <w:pPr>
        <w:spacing w:line="420" w:lineRule="exact"/>
        <w:rPr>
          <w:rFonts w:ascii="黑体" w:hAnsi="宋体" w:eastAsia="黑体"/>
          <w:sz w:val="28"/>
          <w:szCs w:val="28"/>
        </w:rPr>
      </w:pPr>
      <w:r>
        <w:rPr>
          <w:rFonts w:hint="eastAsia" w:ascii="黑体" w:hAnsi="宋体" w:eastAsia="黑体"/>
          <w:sz w:val="28"/>
          <w:szCs w:val="28"/>
        </w:rPr>
        <w:t>————————————————————————————————</w:t>
      </w:r>
    </w:p>
    <w:p>
      <w:pPr>
        <w:spacing w:line="420" w:lineRule="exact"/>
        <w:ind w:right="210" w:rightChars="100" w:firstLine="280" w:firstLineChars="100"/>
        <w:rPr>
          <w:rFonts w:ascii="黑体" w:hAnsi="宋体" w:eastAsia="黑体"/>
          <w:sz w:val="28"/>
          <w:szCs w:val="28"/>
        </w:rPr>
      </w:pPr>
      <w:r>
        <w:rPr>
          <w:rFonts w:hint="eastAsia" w:ascii="仿宋_GB2312" w:hAnsi="宋体" w:eastAsia="仿宋_GB2312"/>
          <w:sz w:val="28"/>
          <w:szCs w:val="28"/>
        </w:rPr>
        <w:t xml:space="preserve">广州软件学院校长办公室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202</w:t>
      </w:r>
      <w:r>
        <w:rPr>
          <w:rFonts w:ascii="仿宋_GB2312" w:hAnsi="宋体" w:eastAsia="仿宋_GB2312"/>
          <w:sz w:val="28"/>
          <w:szCs w:val="28"/>
        </w:rPr>
        <w:t>5</w:t>
      </w:r>
      <w:r>
        <w:rPr>
          <w:rFonts w:hint="eastAsia" w:ascii="仿宋_GB2312" w:hAnsi="宋体" w:eastAsia="仿宋_GB2312"/>
          <w:sz w:val="28"/>
          <w:szCs w:val="28"/>
        </w:rPr>
        <w:t>年</w:t>
      </w:r>
      <w:r>
        <w:rPr>
          <w:rFonts w:ascii="仿宋_GB2312" w:hAnsi="宋体" w:eastAsia="仿宋_GB2312"/>
          <w:sz w:val="28"/>
          <w:szCs w:val="28"/>
        </w:rPr>
        <w:t>3</w:t>
      </w:r>
      <w:r>
        <w:rPr>
          <w:rFonts w:hint="eastAsia" w:ascii="仿宋_GB2312" w:hAnsi="宋体" w:eastAsia="仿宋_GB2312"/>
          <w:sz w:val="28"/>
          <w:szCs w:val="28"/>
        </w:rPr>
        <w:t>月</w:t>
      </w:r>
      <w:r>
        <w:rPr>
          <w:rFonts w:ascii="仿宋_GB2312" w:hAnsi="宋体" w:eastAsia="仿宋_GB2312"/>
          <w:sz w:val="28"/>
          <w:szCs w:val="28"/>
        </w:rPr>
        <w:t>7</w:t>
      </w:r>
      <w:r>
        <w:rPr>
          <w:rFonts w:hint="eastAsia" w:ascii="仿宋_GB2312" w:hAnsi="宋体" w:eastAsia="仿宋_GB2312"/>
          <w:sz w:val="28"/>
          <w:szCs w:val="28"/>
        </w:rPr>
        <w:t>日印发</w:t>
      </w:r>
    </w:p>
    <w:p>
      <w:pPr>
        <w:spacing w:line="420" w:lineRule="exact"/>
      </w:pPr>
      <w:r>
        <w:rPr>
          <w:rFonts w:hint="eastAsia" w:ascii="黑体" w:hAnsi="宋体" w:eastAsia="黑体"/>
          <w:sz w:val="28"/>
          <w:szCs w:val="28"/>
        </w:rPr>
        <w:t>————————————————————————————————</w:t>
      </w:r>
    </w:p>
    <w:sectPr>
      <w:footerReference r:id="rId4" w:type="default"/>
      <w:footerReference r:id="rId5" w:type="even"/>
      <w:pgSz w:w="11906" w:h="16838"/>
      <w:pgMar w:top="1418" w:right="1418" w:bottom="1418" w:left="1418" w:header="851" w:footer="992" w:gutter="0"/>
      <w:pgNumType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7DABAA93-E26C-4FAF-AEC4-6A4E9D4AFD44}"/>
  </w:font>
  <w:font w:name="黑体">
    <w:panose1 w:val="02010609060101010101"/>
    <w:charset w:val="86"/>
    <w:family w:val="auto"/>
    <w:pitch w:val="default"/>
    <w:sig w:usb0="800002BF" w:usb1="38CF7CFA" w:usb2="00000016" w:usb3="00000000" w:csb0="00040001" w:csb1="00000000"/>
    <w:embedRegular r:id="rId2" w:fontKey="{64BAD24B-676C-4F27-B2C8-251B5716A09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embedRegular r:id="rId3" w:fontKey="{AB32CC8D-82E3-44FA-9A5E-02F4F1E75336}"/>
  </w:font>
  <w:font w:name="仿宋_GB2312">
    <w:panose1 w:val="02010609030101010101"/>
    <w:charset w:val="86"/>
    <w:family w:val="modern"/>
    <w:pitch w:val="default"/>
    <w:sig w:usb0="00000001" w:usb1="080E0000" w:usb2="00000000" w:usb3="00000000" w:csb0="00040000" w:csb1="00000000"/>
    <w:embedRegular r:id="rId4" w:fontKey="{58F9AA1F-93BE-49B8-AEBB-4AAE47C952D9}"/>
  </w:font>
  <w:font w:name="微软雅黑">
    <w:panose1 w:val="020B0503020204020204"/>
    <w:charset w:val="86"/>
    <w:family w:val="swiss"/>
    <w:pitch w:val="default"/>
    <w:sig w:usb0="80000287" w:usb1="280F3C52" w:usb2="00000016" w:usb3="00000000" w:csb0="0004001F" w:csb1="00000000"/>
    <w:embedRegular r:id="rId5" w:fontKey="{A78E1F89-2C7A-4551-A4E9-0BF7E85E4B85}"/>
  </w:font>
  <w:font w:name="方正小标宋简体">
    <w:panose1 w:val="02010601030101010101"/>
    <w:charset w:val="86"/>
    <w:family w:val="auto"/>
    <w:pitch w:val="default"/>
    <w:sig w:usb0="00000001" w:usb1="080E0000" w:usb2="00000000" w:usb3="00000000" w:csb0="00040000" w:csb1="00000000"/>
    <w:embedRegular r:id="rId6" w:fontKey="{30064C0F-24F7-4F45-8747-8C56916D708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宋体" w:hAnsi="宋体" w:eastAsia="宋体"/>
                              <w:sz w:val="28"/>
                            </w:rPr>
                          </w:pPr>
                          <w:r>
                            <w:rPr>
                              <w:rFonts w:ascii="宋体" w:hAnsi="宋体" w:eastAsia="宋体"/>
                              <w:sz w:val="28"/>
                            </w:rPr>
                            <w:t>—</w:t>
                          </w:r>
                          <w:r>
                            <w:rPr>
                              <w:rFonts w:hint="eastAsia"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hint="eastAsia"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BqVKztYAAAAGAQAADwAAAAAA&#10;AAABACAAAAAiAAAAZHJzL2Rvd25yZXYueG1sUEsBAhQAFAAAAAgAh07iQE9JbQIVAgAAEQQAAA4A&#10;AAAAAAAAAQAgAAAAJQEAAGRycy9lMm9Eb2MueG1sUEsFBgAAAAAGAAYAWQEAAKwFAAAAAA==&#10;">
              <v:fill on="f" focussize="0,0"/>
              <v:stroke on="f" weight="0.5pt"/>
              <v:imagedata o:title=""/>
              <o:lock v:ext="edit" aspectratio="f"/>
              <v:textbox inset="16pt,0mm,16pt,0mm" style="mso-fit-shape-to-text:t;">
                <w:txbxContent>
                  <w:p>
                    <w:pPr>
                      <w:pStyle w:val="3"/>
                      <w:rPr>
                        <w:rFonts w:ascii="宋体" w:hAnsi="宋体" w:eastAsia="宋体"/>
                        <w:sz w:val="28"/>
                      </w:rPr>
                    </w:pPr>
                    <w:r>
                      <w:rPr>
                        <w:rFonts w:ascii="宋体" w:hAnsi="宋体" w:eastAsia="宋体"/>
                        <w:sz w:val="28"/>
                      </w:rPr>
                      <w:t>—</w:t>
                    </w:r>
                    <w:r>
                      <w:rPr>
                        <w:rFonts w:hint="eastAsia"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hint="eastAsia" w:ascii="宋体" w:hAnsi="宋体" w:eastAsia="宋体"/>
                        <w:sz w:val="24"/>
                      </w:rPr>
                      <w:t>　</w:t>
                    </w:r>
                    <w:r>
                      <w:rPr>
                        <w:rFonts w:ascii="宋体" w:hAnsi="宋体" w:eastAsia="宋体"/>
                        <w:sz w:val="28"/>
                      </w:rPr>
                      <w:t>—</w:t>
                    </w:r>
                  </w:p>
                </w:txbxContent>
              </v:textbox>
            </v:shape>
          </w:pict>
        </mc:Fallback>
      </mc:AlternateContent>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dit="forms"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1C8"/>
    <w:rsid w:val="0000687D"/>
    <w:rsid w:val="00020A72"/>
    <w:rsid w:val="00021E81"/>
    <w:rsid w:val="00024B54"/>
    <w:rsid w:val="0005157E"/>
    <w:rsid w:val="00061C80"/>
    <w:rsid w:val="0009647D"/>
    <w:rsid w:val="000B2756"/>
    <w:rsid w:val="000E31C8"/>
    <w:rsid w:val="00115F74"/>
    <w:rsid w:val="00133B2E"/>
    <w:rsid w:val="0018040E"/>
    <w:rsid w:val="00240305"/>
    <w:rsid w:val="00243754"/>
    <w:rsid w:val="00270088"/>
    <w:rsid w:val="002A27CB"/>
    <w:rsid w:val="002B6630"/>
    <w:rsid w:val="003A13FA"/>
    <w:rsid w:val="003D1825"/>
    <w:rsid w:val="00400BD9"/>
    <w:rsid w:val="00405C7F"/>
    <w:rsid w:val="00476B53"/>
    <w:rsid w:val="004848A7"/>
    <w:rsid w:val="004D3C8E"/>
    <w:rsid w:val="00567F1F"/>
    <w:rsid w:val="00571F52"/>
    <w:rsid w:val="005754D0"/>
    <w:rsid w:val="005910A6"/>
    <w:rsid w:val="005931F2"/>
    <w:rsid w:val="005A13BC"/>
    <w:rsid w:val="005A163F"/>
    <w:rsid w:val="005B0683"/>
    <w:rsid w:val="005B377D"/>
    <w:rsid w:val="005B42BC"/>
    <w:rsid w:val="005D597C"/>
    <w:rsid w:val="005E6501"/>
    <w:rsid w:val="00600453"/>
    <w:rsid w:val="00604A93"/>
    <w:rsid w:val="00627342"/>
    <w:rsid w:val="00630154"/>
    <w:rsid w:val="006329C0"/>
    <w:rsid w:val="00640FD4"/>
    <w:rsid w:val="00645716"/>
    <w:rsid w:val="006C6D6E"/>
    <w:rsid w:val="006E4DF0"/>
    <w:rsid w:val="007111B7"/>
    <w:rsid w:val="007163F1"/>
    <w:rsid w:val="00732BA5"/>
    <w:rsid w:val="0077588F"/>
    <w:rsid w:val="00776301"/>
    <w:rsid w:val="007A130B"/>
    <w:rsid w:val="007D15C0"/>
    <w:rsid w:val="00825AC7"/>
    <w:rsid w:val="00883758"/>
    <w:rsid w:val="0089108A"/>
    <w:rsid w:val="0089277B"/>
    <w:rsid w:val="008C106E"/>
    <w:rsid w:val="008D54A1"/>
    <w:rsid w:val="008F1F2E"/>
    <w:rsid w:val="00903C0D"/>
    <w:rsid w:val="00954952"/>
    <w:rsid w:val="00955959"/>
    <w:rsid w:val="00957856"/>
    <w:rsid w:val="009C16BD"/>
    <w:rsid w:val="009D5133"/>
    <w:rsid w:val="009E287C"/>
    <w:rsid w:val="009F6DE7"/>
    <w:rsid w:val="00A05B04"/>
    <w:rsid w:val="00A15EF8"/>
    <w:rsid w:val="00A25C86"/>
    <w:rsid w:val="00A61FC2"/>
    <w:rsid w:val="00A728FD"/>
    <w:rsid w:val="00A8726D"/>
    <w:rsid w:val="00AD4E26"/>
    <w:rsid w:val="00AF72DF"/>
    <w:rsid w:val="00B43678"/>
    <w:rsid w:val="00B47A83"/>
    <w:rsid w:val="00B615AA"/>
    <w:rsid w:val="00B62CF6"/>
    <w:rsid w:val="00BB09EC"/>
    <w:rsid w:val="00BF0EB7"/>
    <w:rsid w:val="00C3488E"/>
    <w:rsid w:val="00C4202E"/>
    <w:rsid w:val="00C4387B"/>
    <w:rsid w:val="00CE68BA"/>
    <w:rsid w:val="00CF2EFE"/>
    <w:rsid w:val="00D3764E"/>
    <w:rsid w:val="00D442C5"/>
    <w:rsid w:val="00D90D62"/>
    <w:rsid w:val="00DB4BFA"/>
    <w:rsid w:val="00DD3AA8"/>
    <w:rsid w:val="00DE7674"/>
    <w:rsid w:val="00DF6EE8"/>
    <w:rsid w:val="00E83796"/>
    <w:rsid w:val="00EC1B13"/>
    <w:rsid w:val="00F1142D"/>
    <w:rsid w:val="00F26AD6"/>
    <w:rsid w:val="0A2E3EDB"/>
    <w:rsid w:val="10E62DCA"/>
    <w:rsid w:val="180C6E5D"/>
    <w:rsid w:val="2E7634B6"/>
    <w:rsid w:val="50BC42A6"/>
    <w:rsid w:val="5DF91C31"/>
    <w:rsid w:val="64071780"/>
    <w:rsid w:val="741729ED"/>
    <w:rsid w:val="7C2C67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link w:val="10"/>
    <w:qFormat/>
    <w:uiPriority w:val="99"/>
    <w:pPr>
      <w:spacing w:line="480" w:lineRule="exact"/>
      <w:ind w:firstLine="570"/>
    </w:pPr>
    <w:rPr>
      <w:rFonts w:ascii="仿宋_GB2312" w:hAnsi="宋体" w:eastAsia="仿宋_GB2312" w:cs="Times New Roman"/>
      <w:sz w:val="32"/>
      <w:szCs w:val="32"/>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0"/>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character" w:customStyle="1" w:styleId="10">
    <w:name w:val="正文文本缩进 2 字符"/>
    <w:basedOn w:val="6"/>
    <w:link w:val="2"/>
    <w:qFormat/>
    <w:uiPriority w:val="99"/>
    <w:rPr>
      <w:rFonts w:ascii="仿宋_GB2312" w:hAnsi="宋体" w:eastAsia="仿宋_GB2312" w:cs="Times New Roman"/>
      <w:kern w:val="2"/>
      <w:sz w:val="32"/>
      <w:szCs w:val="32"/>
    </w:rPr>
  </w:style>
  <w:style w:type="paragraph" w:customStyle="1" w:styleId="11">
    <w:name w:val="Revision"/>
    <w:hidden/>
    <w:unhideWhenUsed/>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2BF9B3-2559-48AF-B235-6607A9431D63}">
  <ds:schemaRefs/>
</ds:datastoreItem>
</file>

<file path=docProps/app.xml><?xml version="1.0" encoding="utf-8"?>
<Properties xmlns="http://schemas.openxmlformats.org/officeDocument/2006/extended-properties" xmlns:vt="http://schemas.openxmlformats.org/officeDocument/2006/docPropsVTypes">
  <Template>Normal.dotm</Template>
  <Pages>7</Pages>
  <Words>2750</Words>
  <Characters>2769</Characters>
  <Lines>20</Lines>
  <Paragraphs>5</Paragraphs>
  <TotalTime>0</TotalTime>
  <ScaleCrop>false</ScaleCrop>
  <LinksUpToDate>false</LinksUpToDate>
  <CharactersWithSpaces>2844</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2025-03-10T02:34:00Z</dcterms:created>
  <dc:creator>Administrator</dc:creator>
  <cp:lastModifiedBy>尚善</cp:lastModifiedBy>
  <dcterms:modified xsi:type="dcterms:W3CDTF">2026-06-24T02:02:04Z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eyJoZGlkIjoiODM2YzNiYjdmYmJhNTcxMzIwYTE3NzVkMWYyZDVkNmMiLCJ1c2VySWQiOiIxNDA2MTk2NDI1In0=</vt:lpwstr>
  </property>
  <property fmtid="{D5CDD505-2E9C-101B-9397-08002B2CF9AE}" pid="3" name="KSOProductBuildVer">
    <vt:lpwstr>2052-11.1.0.10009</vt:lpwstr>
  </property>
  <property fmtid="{D5CDD505-2E9C-101B-9397-08002B2CF9AE}" pid="4" name="ICV">
    <vt:lpwstr>3389F722F25747B88EAD0896039883DF_13</vt:lpwstr>
  </property>
</Properties>
</file>