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25446">
      <w:pPr>
        <w:jc w:val="center"/>
        <w:outlineLvl w:val="0"/>
        <w:rPr>
          <w:rFonts w:ascii="方正小标宋简体" w:hAnsi="宋体" w:eastAsia="方正小标宋简体"/>
          <w:bCs/>
          <w:sz w:val="44"/>
          <w:szCs w:val="44"/>
          <w:highlight w:val="none"/>
        </w:rPr>
      </w:pPr>
      <w:bookmarkStart w:id="1" w:name="_GoBack"/>
      <w:bookmarkStart w:id="0" w:name="_Toc192844168"/>
      <w:r>
        <w:rPr>
          <w:rFonts w:hint="eastAsia" w:ascii="方正小标宋简体" w:hAnsi="宋体" w:eastAsia="方正小标宋简体"/>
          <w:bCs/>
          <w:sz w:val="44"/>
          <w:szCs w:val="44"/>
          <w:highlight w:val="none"/>
        </w:rPr>
        <w:t>广州软件学院本科教学质量与教学改革工程项目管理办法</w:t>
      </w:r>
      <w:bookmarkEnd w:id="1"/>
      <w:bookmarkEnd w:id="0"/>
    </w:p>
    <w:p w14:paraId="238A9EF3">
      <w:pPr>
        <w:jc w:val="center"/>
        <w:rPr>
          <w:rFonts w:ascii="方正小标宋简体" w:hAnsi="宋体" w:eastAsia="方正小标宋简体"/>
          <w:bCs/>
          <w:sz w:val="44"/>
          <w:szCs w:val="44"/>
          <w:highlight w:val="none"/>
        </w:rPr>
      </w:pPr>
    </w:p>
    <w:p w14:paraId="01D368AA">
      <w:pPr>
        <w:widowControl/>
        <w:snapToGrid w:val="0"/>
        <w:spacing w:line="600" w:lineRule="exact"/>
        <w:jc w:val="center"/>
        <w:rPr>
          <w:rFonts w:ascii="黑体" w:eastAsia="黑体" w:cs="宋体"/>
          <w:color w:val="000000"/>
          <w:kern w:val="0"/>
          <w:sz w:val="32"/>
          <w:szCs w:val="32"/>
          <w:highlight w:val="none"/>
        </w:rPr>
      </w:pPr>
      <w:r>
        <w:rPr>
          <w:rFonts w:hint="eastAsia" w:ascii="黑体" w:hAnsi="Courier New" w:eastAsia="黑体" w:cs="Courier New"/>
          <w:bCs/>
          <w:color w:val="000000"/>
          <w:kern w:val="0"/>
          <w:sz w:val="32"/>
          <w:szCs w:val="32"/>
          <w:highlight w:val="none"/>
        </w:rPr>
        <w:t>第一章  总 则</w:t>
      </w:r>
    </w:p>
    <w:p w14:paraId="61F2C335">
      <w:pPr>
        <w:widowControl/>
        <w:snapToGrid w:val="0"/>
        <w:spacing w:line="600" w:lineRule="exact"/>
        <w:ind w:firstLine="643" w:firstLineChars="200"/>
        <w:jc w:val="left"/>
        <w:rPr>
          <w:rFonts w:ascii="仿宋_GB2312"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第一条</w:t>
      </w:r>
      <w:r>
        <w:rPr>
          <w:rFonts w:hint="eastAsia" w:ascii="黑体" w:eastAsia="黑体" w:cs="宋体"/>
          <w:color w:val="000000"/>
          <w:kern w:val="0"/>
          <w:sz w:val="32"/>
          <w:szCs w:val="32"/>
          <w:highlight w:val="none"/>
        </w:rPr>
        <w:t xml:space="preserve">  </w:t>
      </w:r>
      <w:r>
        <w:rPr>
          <w:rFonts w:hint="eastAsia" w:ascii="仿宋_GB2312" w:eastAsia="仿宋_GB2312" w:cs="宋体"/>
          <w:color w:val="000000"/>
          <w:kern w:val="0"/>
          <w:sz w:val="32"/>
          <w:szCs w:val="32"/>
          <w:highlight w:val="none"/>
        </w:rPr>
        <w:t>为加强我校“本科教学质量与教学改革工程”（以下简称“质量工程”）项目管理，确保项目建设取得实效，根据</w:t>
      </w:r>
      <w:r>
        <w:rPr>
          <w:rFonts w:hint="eastAsia" w:ascii="仿宋_GB2312" w:eastAsia="仿宋_GB2312"/>
          <w:sz w:val="32"/>
          <w:szCs w:val="32"/>
          <w:highlight w:val="none"/>
        </w:rPr>
        <w:t>《教育部、财政部关于印发〈高等学校教学质量与教学改革工程项目管理暂行办法〉的通知》(教高〔2007〕14号)和《广东省高等学校教学质量与教学改革工程项目管理暂行办法》(粤教高〔2009〕77号)等有关文件，结合我校实际，特</w:t>
      </w:r>
      <w:r>
        <w:rPr>
          <w:rFonts w:hint="eastAsia" w:ascii="仿宋_GB2312" w:eastAsia="仿宋_GB2312" w:cs="宋体"/>
          <w:color w:val="000000"/>
          <w:kern w:val="0"/>
          <w:sz w:val="32"/>
          <w:szCs w:val="32"/>
          <w:highlight w:val="none"/>
        </w:rPr>
        <w:t>制定本办法。</w:t>
      </w:r>
    </w:p>
    <w:p w14:paraId="73377098">
      <w:pPr>
        <w:widowControl/>
        <w:snapToGrid w:val="0"/>
        <w:spacing w:line="600" w:lineRule="exact"/>
        <w:ind w:firstLine="643" w:firstLineChars="200"/>
        <w:jc w:val="left"/>
        <w:rPr>
          <w:rFonts w:ascii="仿宋_GB2312" w:eastAsia="仿宋_GB2312" w:cs="宋体"/>
          <w:kern w:val="0"/>
          <w:sz w:val="32"/>
          <w:szCs w:val="32"/>
          <w:highlight w:val="none"/>
        </w:rPr>
      </w:pPr>
      <w:r>
        <w:rPr>
          <w:rFonts w:hint="eastAsia" w:ascii="仿宋_GB2312" w:eastAsia="仿宋_GB2312" w:cs="宋体"/>
          <w:b/>
          <w:bCs/>
          <w:color w:val="000000"/>
          <w:kern w:val="0"/>
          <w:sz w:val="32"/>
          <w:szCs w:val="32"/>
          <w:highlight w:val="none"/>
        </w:rPr>
        <w:t>第二条</w:t>
      </w:r>
      <w:r>
        <w:rPr>
          <w:rFonts w:hint="eastAsia" w:ascii="黑体" w:eastAsia="黑体" w:cs="宋体"/>
          <w:color w:val="000000"/>
          <w:kern w:val="0"/>
          <w:sz w:val="32"/>
          <w:szCs w:val="32"/>
          <w:highlight w:val="none"/>
        </w:rPr>
        <w:t xml:space="preserve"> </w:t>
      </w:r>
      <w:r>
        <w:rPr>
          <w:rFonts w:ascii="黑体" w:eastAsia="黑体" w:cs="宋体"/>
          <w:color w:val="000000"/>
          <w:kern w:val="0"/>
          <w:sz w:val="32"/>
          <w:szCs w:val="32"/>
          <w:highlight w:val="none"/>
        </w:rPr>
        <w:t xml:space="preserve"> </w:t>
      </w:r>
      <w:r>
        <w:rPr>
          <w:rFonts w:hint="eastAsia" w:ascii="仿宋_GB2312" w:eastAsia="仿宋_GB2312" w:cs="宋体"/>
          <w:color w:val="000000"/>
          <w:kern w:val="0"/>
          <w:sz w:val="32"/>
          <w:szCs w:val="32"/>
          <w:highlight w:val="none"/>
        </w:rPr>
        <w:t>“质量工程”</w:t>
      </w:r>
      <w:r>
        <w:rPr>
          <w:rFonts w:hint="eastAsia" w:ascii="仿宋_GB2312" w:eastAsia="仿宋_GB2312" w:cs="宋体"/>
          <w:kern w:val="0"/>
          <w:sz w:val="32"/>
          <w:szCs w:val="32"/>
          <w:highlight w:val="none"/>
        </w:rPr>
        <w:t>主要包括以下规划建设项目：重点建设专业、课程教研室、实验教学示范中心、实践教学基地、精品教材、高等教育教学改革项目、大学生创新创业训练计划项目等。</w:t>
      </w:r>
    </w:p>
    <w:p w14:paraId="14A1E94B">
      <w:pPr>
        <w:snapToGrid w:val="0"/>
        <w:spacing w:line="600" w:lineRule="exact"/>
        <w:ind w:firstLine="643" w:firstLineChars="200"/>
        <w:rPr>
          <w:rFonts w:ascii="仿宋_GB2312" w:eastAsia="仿宋_GB2312"/>
          <w:sz w:val="32"/>
          <w:szCs w:val="32"/>
          <w:highlight w:val="none"/>
        </w:rPr>
      </w:pPr>
      <w:r>
        <w:rPr>
          <w:rFonts w:hint="eastAsia" w:ascii="仿宋_GB2312" w:hAnsi="Arial" w:eastAsia="仿宋_GB2312" w:cs="Arial"/>
          <w:b/>
          <w:bCs/>
          <w:color w:val="000000"/>
          <w:kern w:val="0"/>
          <w:sz w:val="32"/>
          <w:szCs w:val="32"/>
          <w:highlight w:val="none"/>
        </w:rPr>
        <w:t>第三条</w:t>
      </w:r>
      <w:r>
        <w:rPr>
          <w:rFonts w:hint="eastAsia" w:ascii="仿宋_GB2312" w:hAnsi="Arial" w:eastAsia="仿宋_GB2312" w:cs="Arial"/>
          <w:color w:val="000000"/>
          <w:kern w:val="0"/>
          <w:sz w:val="32"/>
          <w:szCs w:val="32"/>
          <w:highlight w:val="none"/>
        </w:rPr>
        <w:t xml:space="preserve">  未列入本办法的“质量工程”项目参照相关规定执行。</w:t>
      </w:r>
    </w:p>
    <w:p w14:paraId="54119E37">
      <w:pPr>
        <w:widowControl/>
        <w:snapToGrid w:val="0"/>
        <w:spacing w:line="600" w:lineRule="exact"/>
        <w:jc w:val="center"/>
        <w:rPr>
          <w:rFonts w:ascii="黑体" w:eastAsia="黑体" w:cs="宋体"/>
          <w:color w:val="000000"/>
          <w:kern w:val="0"/>
          <w:sz w:val="32"/>
          <w:szCs w:val="32"/>
          <w:highlight w:val="none"/>
        </w:rPr>
      </w:pPr>
      <w:r>
        <w:rPr>
          <w:rFonts w:hint="eastAsia" w:ascii="黑体" w:eastAsia="黑体" w:cs="宋体"/>
          <w:color w:val="000000"/>
          <w:kern w:val="0"/>
          <w:sz w:val="32"/>
          <w:szCs w:val="32"/>
          <w:highlight w:val="none"/>
        </w:rPr>
        <w:t>第二章  管理职责</w:t>
      </w:r>
    </w:p>
    <w:p w14:paraId="04380ADA">
      <w:pPr>
        <w:widowControl/>
        <w:snapToGrid w:val="0"/>
        <w:spacing w:line="600" w:lineRule="exact"/>
        <w:ind w:firstLine="643" w:firstLineChars="200"/>
        <w:jc w:val="left"/>
        <w:rPr>
          <w:rFonts w:ascii="仿宋_GB2312"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第四条</w:t>
      </w:r>
      <w:r>
        <w:rPr>
          <w:rFonts w:hint="eastAsia" w:ascii="仿宋_GB2312" w:eastAsia="仿宋_GB2312" w:cs="宋体"/>
          <w:color w:val="000000"/>
          <w:kern w:val="0"/>
          <w:sz w:val="32"/>
          <w:szCs w:val="32"/>
          <w:highlight w:val="none"/>
        </w:rPr>
        <w:t xml:space="preserve">  学校负责对项目建设过程中的重大问题进行决策，全面领导“质量工程”工作。教务处负责“质量工程”项目的组织管理和日常事务，主要履行以下职责：</w:t>
      </w:r>
    </w:p>
    <w:p w14:paraId="13234AC4">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（一）负责统筹指导项目建设的相关工作；</w:t>
      </w:r>
    </w:p>
    <w:p w14:paraId="55955A0A">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（二）组织项目评审；</w:t>
      </w:r>
    </w:p>
    <w:p w14:paraId="13E89827">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（三）组织对项目的检查、验收和评价；</w:t>
      </w:r>
    </w:p>
    <w:p w14:paraId="0E728586">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（四）统筹安排建设资金，按照有关财务制度及《广州软件学院本科教学质量与教学改革工程专项资金管理办法》，监督项目资金的使用；</w:t>
      </w:r>
    </w:p>
    <w:p w14:paraId="28ED8249">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（五）根据项目建设实际情况，推广宣传项目建设成果。</w:t>
      </w:r>
    </w:p>
    <w:p w14:paraId="789CED08">
      <w:pPr>
        <w:widowControl/>
        <w:snapToGrid w:val="0"/>
        <w:spacing w:line="600" w:lineRule="exact"/>
        <w:ind w:firstLine="643" w:firstLineChars="200"/>
        <w:jc w:val="left"/>
        <w:rPr>
          <w:rFonts w:ascii="仿宋_GB2312"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第五条</w:t>
      </w:r>
      <w:r>
        <w:rPr>
          <w:rFonts w:hint="eastAsia" w:ascii="仿宋_GB2312" w:eastAsia="仿宋_GB2312" w:cs="宋体"/>
          <w:color w:val="000000"/>
          <w:kern w:val="0"/>
          <w:sz w:val="32"/>
          <w:szCs w:val="32"/>
          <w:highlight w:val="none"/>
        </w:rPr>
        <w:t xml:space="preserve"> </w:t>
      </w:r>
      <w:r>
        <w:rPr>
          <w:rFonts w:ascii="仿宋_GB2312" w:eastAsia="仿宋_GB2312" w:cs="宋体"/>
          <w:color w:val="000000"/>
          <w:kern w:val="0"/>
          <w:sz w:val="32"/>
          <w:szCs w:val="32"/>
          <w:highlight w:val="none"/>
        </w:rPr>
        <w:t xml:space="preserve"> </w:t>
      </w:r>
      <w:r>
        <w:rPr>
          <w:rFonts w:hint="eastAsia" w:ascii="仿宋_GB2312" w:eastAsia="仿宋_GB2312" w:cs="宋体"/>
          <w:color w:val="000000"/>
          <w:kern w:val="0"/>
          <w:sz w:val="32"/>
          <w:szCs w:val="32"/>
          <w:highlight w:val="none"/>
        </w:rPr>
        <w:t>“质量工程”项目承担单位负责项目建设的规划、实施、管理和检查等工作，主要履行以下职责：</w:t>
      </w:r>
    </w:p>
    <w:p w14:paraId="440B521C">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（一）按照上级文件及本办法的要求，编制、报送项目申报材料，并对其真实性负责。</w:t>
      </w:r>
    </w:p>
    <w:p w14:paraId="2CEA7D23">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（二）按照批复的项目建设内容，统筹规划，组织项目实施，确保项目建设进度和预期目标。</w:t>
      </w:r>
    </w:p>
    <w:p w14:paraId="036AD763">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（三）接受上级部门及学校相关职能部门对项目实施过程和结果进行监控、检查。</w:t>
      </w:r>
    </w:p>
    <w:p w14:paraId="4EB27A13">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（四）省级“质量工程”项目，需按规定报告项目进展情况，学校</w:t>
      </w:r>
      <w:r>
        <w:rPr>
          <w:rFonts w:hint="eastAsia" w:ascii="仿宋_GB2312" w:hAnsi="宋体" w:eastAsia="仿宋_GB2312" w:cs="宋体"/>
          <w:color w:val="000000"/>
          <w:kern w:val="0"/>
          <w:sz w:val="32"/>
          <w:szCs w:val="32"/>
          <w:highlight w:val="none"/>
        </w:rPr>
        <w:t>教务处</w:t>
      </w:r>
      <w:r>
        <w:rPr>
          <w:rFonts w:hint="eastAsia" w:ascii="仿宋_GB2312" w:eastAsia="仿宋_GB2312" w:cs="宋体"/>
          <w:color w:val="000000"/>
          <w:kern w:val="0"/>
          <w:sz w:val="32"/>
          <w:szCs w:val="32"/>
          <w:highlight w:val="none"/>
        </w:rPr>
        <w:t>统一向教育厅书面报告。项目有特别规定的按相应规定执行。</w:t>
      </w:r>
    </w:p>
    <w:p w14:paraId="367DB7A9">
      <w:pPr>
        <w:widowControl/>
        <w:snapToGrid w:val="0"/>
        <w:spacing w:line="600" w:lineRule="exact"/>
        <w:ind w:firstLine="643" w:firstLineChars="200"/>
        <w:jc w:val="left"/>
        <w:rPr>
          <w:rFonts w:ascii="仿宋_GB2312"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第六条</w:t>
      </w:r>
      <w:r>
        <w:rPr>
          <w:rFonts w:hint="eastAsia" w:ascii="仿宋_GB2312" w:eastAsia="仿宋_GB2312" w:cs="宋体"/>
          <w:color w:val="000000"/>
          <w:kern w:val="0"/>
          <w:sz w:val="32"/>
          <w:szCs w:val="32"/>
          <w:highlight w:val="none"/>
        </w:rPr>
        <w:t xml:space="preserve"> </w:t>
      </w:r>
      <w:r>
        <w:rPr>
          <w:rFonts w:ascii="仿宋_GB2312" w:eastAsia="仿宋_GB2312" w:cs="宋体"/>
          <w:color w:val="000000"/>
          <w:kern w:val="0"/>
          <w:sz w:val="32"/>
          <w:szCs w:val="32"/>
          <w:highlight w:val="none"/>
        </w:rPr>
        <w:t xml:space="preserve"> </w:t>
      </w:r>
      <w:r>
        <w:rPr>
          <w:rFonts w:hint="eastAsia" w:ascii="仿宋_GB2312" w:eastAsia="仿宋_GB2312" w:cs="宋体"/>
          <w:color w:val="000000"/>
          <w:kern w:val="0"/>
          <w:sz w:val="32"/>
          <w:szCs w:val="32"/>
          <w:highlight w:val="none"/>
        </w:rPr>
        <w:t>“质量工程”项目实行项目负责人制。项目负责人的职责是：</w:t>
      </w:r>
    </w:p>
    <w:p w14:paraId="33351BA0">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（一）依照项目的有关要求和规定，制订项目建设计划；</w:t>
      </w:r>
    </w:p>
    <w:p w14:paraId="24E54FA4">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（二）组织项目建设工作，保证项目按计划进度实施；</w:t>
      </w:r>
    </w:p>
    <w:p w14:paraId="6F9052D3">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（三）按规定合理安排项目经费；</w:t>
      </w:r>
    </w:p>
    <w:p w14:paraId="1863E2C2">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（四）评价项目建设效果；</w:t>
      </w:r>
    </w:p>
    <w:p w14:paraId="5C546C53">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（五）宣传、展示项目建设成果，推进成果应用。</w:t>
      </w:r>
    </w:p>
    <w:p w14:paraId="30F4AC87">
      <w:pPr>
        <w:widowControl/>
        <w:snapToGrid w:val="0"/>
        <w:spacing w:line="600" w:lineRule="exact"/>
        <w:ind w:firstLine="643"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第七条</w:t>
      </w:r>
      <w:r>
        <w:rPr>
          <w:rFonts w:hint="eastAsia" w:ascii="黑体" w:eastAsia="黑体" w:cs="宋体"/>
          <w:color w:val="000000"/>
          <w:kern w:val="0"/>
          <w:sz w:val="32"/>
          <w:szCs w:val="32"/>
          <w:highlight w:val="none"/>
        </w:rPr>
        <w:t xml:space="preserve"> </w:t>
      </w:r>
      <w:r>
        <w:rPr>
          <w:rFonts w:hint="eastAsia" w:ascii="仿宋_GB2312" w:eastAsia="仿宋_GB2312" w:cs="宋体"/>
          <w:color w:val="000000"/>
          <w:kern w:val="0"/>
          <w:sz w:val="32"/>
          <w:szCs w:val="32"/>
          <w:highlight w:val="none"/>
        </w:rPr>
        <w:t xml:space="preserve"> “质量工程”项目建设内容、进度安排以及项目负责人不得随意调整。如确需调整的，须报请分管校领导审批。</w:t>
      </w:r>
    </w:p>
    <w:p w14:paraId="02B94CE3">
      <w:pPr>
        <w:widowControl/>
        <w:snapToGrid w:val="0"/>
        <w:spacing w:line="600" w:lineRule="exact"/>
        <w:jc w:val="center"/>
        <w:rPr>
          <w:rFonts w:ascii="黑体" w:hAnsi="宋体" w:eastAsia="黑体" w:cs="宋体"/>
          <w:bCs/>
          <w:kern w:val="0"/>
          <w:sz w:val="32"/>
          <w:szCs w:val="32"/>
          <w:highlight w:val="none"/>
        </w:rPr>
      </w:pPr>
      <w:r>
        <w:rPr>
          <w:rFonts w:hint="eastAsia" w:ascii="黑体" w:eastAsia="黑体" w:cs="宋体"/>
          <w:bCs/>
          <w:color w:val="000000"/>
          <w:kern w:val="0"/>
          <w:sz w:val="32"/>
          <w:szCs w:val="32"/>
          <w:highlight w:val="none"/>
        </w:rPr>
        <w:t>第三章  项目申报</w:t>
      </w:r>
    </w:p>
    <w:p w14:paraId="787BC4E3">
      <w:pPr>
        <w:widowControl/>
        <w:snapToGrid w:val="0"/>
        <w:spacing w:line="600" w:lineRule="exact"/>
        <w:ind w:firstLine="643" w:firstLineChars="200"/>
        <w:jc w:val="left"/>
        <w:rPr>
          <w:rFonts w:ascii="仿宋_GB2312"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第八条</w:t>
      </w:r>
      <w:r>
        <w:rPr>
          <w:rFonts w:hint="eastAsia" w:ascii="黑体" w:eastAsia="黑体" w:cs="宋体"/>
          <w:color w:val="000000"/>
          <w:kern w:val="0"/>
          <w:sz w:val="32"/>
          <w:szCs w:val="32"/>
          <w:highlight w:val="none"/>
        </w:rPr>
        <w:t xml:space="preserve"> </w:t>
      </w:r>
      <w:r>
        <w:rPr>
          <w:rFonts w:ascii="黑体" w:eastAsia="黑体" w:cs="宋体"/>
          <w:color w:val="000000"/>
          <w:kern w:val="0"/>
          <w:sz w:val="32"/>
          <w:szCs w:val="32"/>
          <w:highlight w:val="none"/>
        </w:rPr>
        <w:t xml:space="preserve"> </w:t>
      </w:r>
      <w:r>
        <w:rPr>
          <w:rFonts w:hint="eastAsia" w:ascii="仿宋_GB2312" w:eastAsia="仿宋_GB2312" w:cs="宋体"/>
          <w:color w:val="000000"/>
          <w:kern w:val="0"/>
          <w:sz w:val="32"/>
          <w:szCs w:val="32"/>
          <w:highlight w:val="none"/>
        </w:rPr>
        <w:t>“质量工程”实行校级、省级和国家级三级立项审批制度，学校将根据</w:t>
      </w:r>
      <w:r>
        <w:rPr>
          <w:rFonts w:hint="eastAsia" w:ascii="仿宋_GB2312" w:eastAsia="仿宋_GB2312"/>
          <w:sz w:val="32"/>
          <w:szCs w:val="32"/>
          <w:highlight w:val="none"/>
        </w:rPr>
        <w:t>上级部门文件</w:t>
      </w:r>
      <w:r>
        <w:rPr>
          <w:rFonts w:hint="eastAsia" w:ascii="仿宋_GB2312" w:eastAsia="仿宋_GB2312" w:cs="宋体"/>
          <w:color w:val="000000"/>
          <w:kern w:val="0"/>
          <w:sz w:val="32"/>
          <w:szCs w:val="32"/>
          <w:highlight w:val="none"/>
        </w:rPr>
        <w:t>精神，有计划有步骤地启动校级“质量工程”项目，建设一批基础好、有潜力的项目申报省级、国家级“质量工程”项目。</w:t>
      </w:r>
    </w:p>
    <w:p w14:paraId="7ED86E92">
      <w:pPr>
        <w:widowControl/>
        <w:snapToGrid w:val="0"/>
        <w:spacing w:line="600" w:lineRule="exact"/>
        <w:ind w:firstLine="643"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第九条</w:t>
      </w:r>
      <w:r>
        <w:rPr>
          <w:rFonts w:hint="eastAsia" w:ascii="黑体" w:eastAsia="黑体" w:cs="宋体"/>
          <w:color w:val="000000"/>
          <w:kern w:val="0"/>
          <w:sz w:val="32"/>
          <w:szCs w:val="32"/>
          <w:highlight w:val="none"/>
        </w:rPr>
        <w:t xml:space="preserve">  </w:t>
      </w:r>
      <w:r>
        <w:rPr>
          <w:rFonts w:hint="eastAsia" w:ascii="仿宋_GB2312" w:eastAsia="仿宋_GB2312" w:cs="宋体"/>
          <w:color w:val="000000"/>
          <w:kern w:val="0"/>
          <w:sz w:val="32"/>
          <w:szCs w:val="32"/>
          <w:highlight w:val="none"/>
        </w:rPr>
        <w:t>教务处负责“质量工程”项目的申报组织工作。申报程序和遴选标准以具体文件通知为准。</w:t>
      </w:r>
    </w:p>
    <w:p w14:paraId="695CFF92">
      <w:pPr>
        <w:widowControl/>
        <w:snapToGrid w:val="0"/>
        <w:spacing w:line="600" w:lineRule="exact"/>
        <w:jc w:val="center"/>
        <w:rPr>
          <w:rFonts w:ascii="黑体" w:hAnsi="宋体" w:eastAsia="黑体" w:cs="宋体"/>
          <w:bCs/>
          <w:kern w:val="0"/>
          <w:sz w:val="32"/>
          <w:szCs w:val="32"/>
          <w:highlight w:val="none"/>
        </w:rPr>
      </w:pPr>
      <w:r>
        <w:rPr>
          <w:rFonts w:hint="eastAsia" w:ascii="黑体" w:eastAsia="黑体" w:cs="宋体"/>
          <w:bCs/>
          <w:color w:val="000000"/>
          <w:kern w:val="0"/>
          <w:sz w:val="32"/>
          <w:szCs w:val="32"/>
          <w:highlight w:val="none"/>
        </w:rPr>
        <w:t>第四章  项目监督检查</w:t>
      </w:r>
    </w:p>
    <w:p w14:paraId="37961396">
      <w:pPr>
        <w:widowControl/>
        <w:snapToGrid w:val="0"/>
        <w:spacing w:line="600" w:lineRule="exact"/>
        <w:ind w:firstLine="643"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第十条</w:t>
      </w:r>
      <w:r>
        <w:rPr>
          <w:rFonts w:hint="eastAsia" w:ascii="仿宋_GB2312" w:eastAsia="仿宋_GB2312" w:cs="宋体"/>
          <w:color w:val="000000"/>
          <w:kern w:val="0"/>
          <w:sz w:val="32"/>
          <w:szCs w:val="32"/>
          <w:highlight w:val="none"/>
        </w:rPr>
        <w:t xml:space="preserve">  “质量工程”项目的过程管理</w:t>
      </w:r>
    </w:p>
    <w:p w14:paraId="2F264F29">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（一）</w:t>
      </w:r>
      <w:r>
        <w:rPr>
          <w:rFonts w:hint="eastAsia" w:ascii="仿宋_GB2312" w:eastAsia="仿宋_GB2312" w:cs="宋体"/>
          <w:color w:val="000000"/>
          <w:kern w:val="0"/>
          <w:sz w:val="32"/>
          <w:szCs w:val="32"/>
          <w:highlight w:val="none"/>
        </w:rPr>
        <w:t>凡立项的“质量工程”项目，项目负责人必须对照申报材料完成项目建设任务书，主要内容如下：</w:t>
      </w:r>
    </w:p>
    <w:p w14:paraId="1D64C0D7">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1.建设目标</w:t>
      </w:r>
    </w:p>
    <w:p w14:paraId="29BB909D">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2.主要建设内容</w:t>
      </w:r>
    </w:p>
    <w:p w14:paraId="710D4D40">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3.项目组成员</w:t>
      </w:r>
    </w:p>
    <w:p w14:paraId="59D50C7E">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4.建设进度和工作计划</w:t>
      </w:r>
    </w:p>
    <w:p w14:paraId="2C0B54FA">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5.经费使用计划</w:t>
      </w:r>
    </w:p>
    <w:p w14:paraId="669B52C4">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6.预期完成结果和成果提交形式</w:t>
      </w:r>
    </w:p>
    <w:p w14:paraId="64091796">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（二）获批准</w:t>
      </w:r>
      <w:r>
        <w:rPr>
          <w:rFonts w:hint="eastAsia" w:ascii="仿宋_GB2312" w:eastAsia="仿宋_GB2312" w:cs="宋体"/>
          <w:color w:val="000000"/>
          <w:kern w:val="0"/>
          <w:sz w:val="32"/>
          <w:szCs w:val="32"/>
          <w:highlight w:val="none"/>
        </w:rPr>
        <w:t>的国家级、省级“质量工程”项目须向学校提交经系审核论证的详细工作计划和经费使用计划，经学校审核后核拨建设经费。工作计划和经费使用计划将作为拨款、进度检查和经费审查的重要依据。</w:t>
      </w:r>
    </w:p>
    <w:p w14:paraId="79AE2583">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（三）“质量工程”项目实行中期检查考核制度，由项目负责人提交进展报告，学校采取会议或通讯评议等方式对项目进展和经费使用情况等进行检查，根据项目建设成效和发展趋势，对后期研究工作提出建议。</w:t>
      </w:r>
      <w:r>
        <w:rPr>
          <w:rFonts w:hint="eastAsia" w:ascii="仿宋_GB2312" w:hAnsi="Arial" w:eastAsia="仿宋_GB2312" w:cs="Arial"/>
          <w:color w:val="000000"/>
          <w:kern w:val="0"/>
          <w:sz w:val="32"/>
          <w:szCs w:val="32"/>
          <w:highlight w:val="none"/>
        </w:rPr>
        <w:t>不按时提交项目中期进展报告，或无特殊原因不能按计划进度完成任务的项目，学院将通知财务处暂缓或停止拨款。</w:t>
      </w:r>
    </w:p>
    <w:p w14:paraId="34A3CE6F">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中期检查的主要内容包括：</w:t>
      </w:r>
    </w:p>
    <w:p w14:paraId="6762AE09">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1.项目建设基本情况</w:t>
      </w:r>
    </w:p>
    <w:p w14:paraId="3E8C88EA">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2.项目进展和取得的成绩</w:t>
      </w:r>
    </w:p>
    <w:p w14:paraId="2ACD00EF">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3.项目调整情况</w:t>
      </w:r>
    </w:p>
    <w:p w14:paraId="7C3854F4">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4.项目组织管理情况</w:t>
      </w:r>
    </w:p>
    <w:p w14:paraId="2ED7E366">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5.项目经费使用情况</w:t>
      </w:r>
    </w:p>
    <w:p w14:paraId="46E2979C">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6.项目实施的经验、存在的问题以及改进措施</w:t>
      </w:r>
    </w:p>
    <w:p w14:paraId="3E56E643">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7</w:t>
      </w:r>
      <w:r>
        <w:rPr>
          <w:rFonts w:ascii="仿宋_GB2312" w:eastAsia="仿宋_GB2312" w:cs="宋体"/>
          <w:color w:val="000000"/>
          <w:kern w:val="0"/>
          <w:sz w:val="32"/>
          <w:szCs w:val="32"/>
          <w:highlight w:val="none"/>
        </w:rPr>
        <w:t>.</w:t>
      </w:r>
      <w:r>
        <w:rPr>
          <w:rFonts w:hint="eastAsia" w:ascii="仿宋_GB2312" w:eastAsia="仿宋_GB2312" w:cs="宋体"/>
          <w:color w:val="000000"/>
          <w:kern w:val="0"/>
          <w:sz w:val="32"/>
          <w:szCs w:val="32"/>
          <w:highlight w:val="none"/>
        </w:rPr>
        <w:t>项目执行过程中遇到的其他问题</w:t>
      </w:r>
    </w:p>
    <w:p w14:paraId="17F7A3E9">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各单位需要准备的备查材料届时将具体通知。</w:t>
      </w:r>
    </w:p>
    <w:p w14:paraId="608B0D84">
      <w:pPr>
        <w:widowControl/>
        <w:snapToGrid w:val="0"/>
        <w:spacing w:line="600" w:lineRule="exact"/>
        <w:ind w:firstLine="643"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第十一条</w:t>
      </w:r>
      <w:r>
        <w:rPr>
          <w:rFonts w:hint="eastAsia" w:ascii="黑体" w:eastAsia="黑体" w:cs="宋体"/>
          <w:color w:val="000000"/>
          <w:kern w:val="0"/>
          <w:sz w:val="32"/>
          <w:szCs w:val="32"/>
          <w:highlight w:val="none"/>
        </w:rPr>
        <w:t xml:space="preserve">  </w:t>
      </w:r>
      <w:r>
        <w:rPr>
          <w:rFonts w:hint="eastAsia" w:ascii="仿宋_GB2312" w:eastAsia="仿宋_GB2312" w:cs="宋体"/>
          <w:color w:val="000000"/>
          <w:kern w:val="0"/>
          <w:sz w:val="32"/>
          <w:szCs w:val="32"/>
          <w:highlight w:val="none"/>
        </w:rPr>
        <w:t>“质量工程”项目验收</w:t>
      </w:r>
    </w:p>
    <w:p w14:paraId="084956BE">
      <w:pPr>
        <w:widowControl/>
        <w:snapToGrid w:val="0"/>
        <w:spacing w:line="600" w:lineRule="exact"/>
        <w:ind w:firstLine="640" w:firstLineChars="200"/>
        <w:jc w:val="left"/>
        <w:rPr>
          <w:rFonts w:ascii="仿宋_GB2312" w:eastAsia="仿宋_GB2312" w:cs="宋体"/>
          <w:color w:val="000000"/>
          <w:kern w:val="0"/>
          <w:sz w:val="32"/>
          <w:szCs w:val="32"/>
          <w:highlight w:val="none"/>
        </w:rPr>
      </w:pPr>
      <w:r>
        <w:rPr>
          <w:rFonts w:hint="eastAsia" w:ascii="仿宋_GB2312" w:eastAsia="仿宋_GB2312" w:cs="宋体"/>
          <w:color w:val="000000"/>
          <w:kern w:val="0"/>
          <w:sz w:val="32"/>
          <w:szCs w:val="32"/>
          <w:highlight w:val="none"/>
        </w:rPr>
        <w:t>项目完成后，项目组须认真撰写结题报告、编制项目资助经费决算与成果附件材料一并送学校申报结题。教育部、广东省教育厅批准的“质量工程”项目将按照合同要求组织结题验收。</w:t>
      </w:r>
    </w:p>
    <w:p w14:paraId="324033FB">
      <w:pPr>
        <w:widowControl/>
        <w:snapToGrid w:val="0"/>
        <w:spacing w:line="600" w:lineRule="exact"/>
        <w:jc w:val="center"/>
        <w:rPr>
          <w:rFonts w:ascii="黑体" w:hAnsi="宋体" w:eastAsia="黑体" w:cs="宋体"/>
          <w:color w:val="000000"/>
          <w:kern w:val="0"/>
          <w:sz w:val="32"/>
          <w:szCs w:val="32"/>
          <w:highlight w:val="none"/>
        </w:rPr>
      </w:pPr>
      <w:r>
        <w:rPr>
          <w:rFonts w:hint="eastAsia" w:ascii="黑体" w:hAnsi="宋体" w:eastAsia="黑体" w:cs="宋体"/>
          <w:color w:val="000000"/>
          <w:kern w:val="0"/>
          <w:sz w:val="32"/>
          <w:szCs w:val="32"/>
          <w:highlight w:val="none"/>
        </w:rPr>
        <w:t>第五章  项目中止或撤销</w:t>
      </w:r>
    </w:p>
    <w:p w14:paraId="52FB243C">
      <w:pPr>
        <w:widowControl/>
        <w:snapToGrid w:val="0"/>
        <w:spacing w:line="600" w:lineRule="exact"/>
        <w:ind w:firstLine="643" w:firstLineChars="200"/>
        <w:jc w:val="left"/>
        <w:rPr>
          <w:rFonts w:ascii="仿宋_GB2312" w:hAnsi="宋体" w:eastAsia="仿宋_GB2312" w:cs="宋体"/>
          <w:color w:val="000000"/>
          <w:kern w:val="0"/>
          <w:sz w:val="32"/>
          <w:szCs w:val="32"/>
          <w:highlight w:val="none"/>
        </w:rPr>
      </w:pPr>
      <w:r>
        <w:rPr>
          <w:rFonts w:hint="eastAsia" w:ascii="仿宋_GB2312" w:eastAsia="仿宋_GB2312" w:cs="宋体"/>
          <w:b/>
          <w:bCs/>
          <w:color w:val="000000"/>
          <w:kern w:val="0"/>
          <w:sz w:val="32"/>
          <w:szCs w:val="32"/>
          <w:highlight w:val="none"/>
        </w:rPr>
        <w:t>第十二条</w:t>
      </w:r>
      <w:r>
        <w:rPr>
          <w:rFonts w:hint="eastAsia" w:ascii="黑体" w:eastAsia="黑体" w:cs="宋体"/>
          <w:color w:val="000000"/>
          <w:kern w:val="0"/>
          <w:sz w:val="32"/>
          <w:szCs w:val="32"/>
          <w:highlight w:val="none"/>
        </w:rPr>
        <w:t xml:space="preserve">  </w:t>
      </w:r>
      <w:r>
        <w:rPr>
          <w:rFonts w:hint="eastAsia" w:ascii="仿宋_GB2312" w:hAnsi="宋体" w:eastAsia="仿宋_GB2312" w:cs="宋体"/>
          <w:color w:val="000000"/>
          <w:kern w:val="0"/>
          <w:sz w:val="32"/>
          <w:szCs w:val="32"/>
          <w:highlight w:val="none"/>
        </w:rPr>
        <w:t>按国家有关文件规定，有下列情形之一的，将视其情节轻重给予警告，情节严重者中止直至撤消项目。违反国家法律、法规等，将追究相关人员责任。</w:t>
      </w:r>
    </w:p>
    <w:p w14:paraId="5EE4EAF2">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（一）建设立项材料弄虚作假、违背学术道德；</w:t>
      </w:r>
    </w:p>
    <w:p w14:paraId="594BB88A">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（二）项目执行不力，未开展实质性建设工作；</w:t>
      </w:r>
    </w:p>
    <w:p w14:paraId="4849C44F">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（三）未按要求上报项目有关情况，无故不接受学校及相关部门对项目实施情况的检查、监督与审计；</w:t>
      </w:r>
    </w:p>
    <w:p w14:paraId="1668DA40">
      <w:pPr>
        <w:widowControl/>
        <w:snapToGrid w:val="0"/>
        <w:spacing w:line="600" w:lineRule="exact"/>
        <w:ind w:firstLine="640" w:firstLineChars="20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（四）项目经费的使用不符合有关财务管理规定。</w:t>
      </w:r>
    </w:p>
    <w:p w14:paraId="7D147B26">
      <w:pPr>
        <w:widowControl/>
        <w:snapToGrid w:val="0"/>
        <w:spacing w:line="600" w:lineRule="exact"/>
        <w:jc w:val="center"/>
        <w:rPr>
          <w:rFonts w:ascii="仿宋_GB2312" w:hAnsi="宋体" w:eastAsia="仿宋_GB2312" w:cs="宋体"/>
          <w:color w:val="000000"/>
          <w:kern w:val="0"/>
          <w:sz w:val="32"/>
          <w:szCs w:val="32"/>
          <w:highlight w:val="none"/>
        </w:rPr>
      </w:pPr>
      <w:r>
        <w:rPr>
          <w:rFonts w:hint="eastAsia" w:ascii="黑体" w:hAnsi="Arial" w:eastAsia="黑体" w:cs="Arial"/>
          <w:color w:val="000000"/>
          <w:kern w:val="0"/>
          <w:sz w:val="32"/>
          <w:szCs w:val="32"/>
          <w:highlight w:val="none"/>
        </w:rPr>
        <w:t>第六章  附  则</w:t>
      </w:r>
    </w:p>
    <w:p w14:paraId="41CC319B">
      <w:pPr>
        <w:snapToGrid w:val="0"/>
        <w:spacing w:line="600" w:lineRule="exact"/>
        <w:ind w:firstLine="643" w:firstLineChars="200"/>
        <w:rPr>
          <w:rFonts w:ascii="黑体" w:eastAsia="黑体"/>
          <w:sz w:val="32"/>
          <w:szCs w:val="32"/>
          <w:highlight w:val="none"/>
        </w:rPr>
      </w:pPr>
      <w:r>
        <w:rPr>
          <w:rFonts w:hint="eastAsia" w:ascii="仿宋_GB2312" w:eastAsia="仿宋_GB2312" w:cs="宋体"/>
          <w:b/>
          <w:bCs/>
          <w:color w:val="000000"/>
          <w:kern w:val="0"/>
          <w:sz w:val="32"/>
          <w:szCs w:val="32"/>
          <w:highlight w:val="none"/>
        </w:rPr>
        <w:t>第十三条</w:t>
      </w:r>
      <w:r>
        <w:rPr>
          <w:rFonts w:hint="eastAsia" w:ascii="黑体" w:eastAsia="黑体" w:cs="宋体"/>
          <w:color w:val="000000"/>
          <w:kern w:val="0"/>
          <w:sz w:val="32"/>
          <w:szCs w:val="32"/>
          <w:highlight w:val="none"/>
        </w:rPr>
        <w:t xml:space="preserve">  </w:t>
      </w:r>
      <w:r>
        <w:rPr>
          <w:rFonts w:hint="eastAsia" w:ascii="仿宋_GB2312" w:hAnsi="Arial" w:eastAsia="仿宋_GB2312" w:cs="Arial"/>
          <w:color w:val="000000"/>
          <w:kern w:val="0"/>
          <w:sz w:val="32"/>
          <w:szCs w:val="32"/>
          <w:highlight w:val="none"/>
        </w:rPr>
        <w:t>本办法由教务处负责解释，自公布之日起施行。</w:t>
      </w:r>
    </w:p>
    <w:p w14:paraId="51529A7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8F4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2026-05-14T02:07:03Z</dcterms:created>
  <dc:creator>Administrator</dc:creator>
  <cp:lastModifiedBy>TOT</cp:lastModifiedBy>
  <dcterms:modified xsi:type="dcterms:W3CDTF">2026-05-14T02:07:15Z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eyJoZGlkIjoiNzA3NjU1ZWQ4ODAzZDI0ZDlhNDE5ODA0MzlhM2U0YjUiLCJ1c2VySWQiOiI0NjM3NjE5NzIifQ==</vt:lpwstr>
  </property>
  <property fmtid="{D5CDD505-2E9C-101B-9397-08002B2CF9AE}" pid="4" name="ICV">
    <vt:lpwstr>ED2A81BEB82844EB922EF57B5B156EFC_12</vt:lpwstr>
  </property>
</Properties>
</file>