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0F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Times New Roman"/>
          <w:b w:val="0"/>
          <w:bCs w:val="0"/>
          <w:sz w:val="44"/>
          <w:szCs w:val="20"/>
          <w:lang w:val="en-US" w:eastAsia="zh-CN"/>
          <w14:ligatures w14:val="none"/>
        </w:rPr>
      </w:pPr>
      <w:r>
        <w:rPr>
          <w:rFonts w:hint="eastAsia" w:ascii="方正小标宋简体" w:hAnsi="方正小标宋简体" w:eastAsia="方正小标宋简体"/>
          <w:sz w:val="44"/>
          <w:szCs w:val="20"/>
        </w:rPr>
        <w:t>广州软件学院</w:t>
      </w:r>
      <w:r>
        <w:rPr>
          <w:rFonts w:hint="eastAsia" w:ascii="方正小标宋简体" w:hAnsi="方正小标宋简体" w:eastAsia="方正小标宋简体"/>
          <w:sz w:val="44"/>
          <w:szCs w:val="20"/>
          <w:lang w:val="en-US" w:eastAsia="zh-CN"/>
        </w:rPr>
        <w:t>2024年度</w:t>
      </w:r>
      <w:r>
        <w:rPr>
          <w:rFonts w:hint="eastAsia" w:ascii="方正小标宋简体" w:hAnsi="方正小标宋简体" w:eastAsia="方正小标宋简体" w:cs="Times New Roman"/>
          <w:b w:val="0"/>
          <w:bCs w:val="0"/>
          <w:sz w:val="44"/>
          <w:szCs w:val="20"/>
          <w:lang w:val="en-US" w:eastAsia="zh-CN"/>
          <w14:ligatures w14:val="none"/>
        </w:rPr>
        <w:t>团的基层建设</w:t>
      </w:r>
    </w:p>
    <w:p w14:paraId="3F54A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/>
          <w:sz w:val="44"/>
          <w:szCs w:val="20"/>
          <w:lang w:eastAsia="zh-CN"/>
        </w:rPr>
      </w:pPr>
      <w:r>
        <w:rPr>
          <w:rFonts w:hint="eastAsia" w:ascii="方正小标宋简体" w:hAnsi="方正小标宋简体" w:eastAsia="方正小标宋简体" w:cs="Times New Roman"/>
          <w:b w:val="0"/>
          <w:bCs w:val="0"/>
          <w:sz w:val="44"/>
          <w:szCs w:val="20"/>
          <w:lang w:val="en-US" w:eastAsia="zh-CN"/>
          <w14:ligatures w14:val="none"/>
        </w:rPr>
        <w:t>“命脉工程”工作考核评价</w:t>
      </w:r>
      <w:r>
        <w:rPr>
          <w:rFonts w:hint="eastAsia" w:ascii="方正小标宋简体" w:hAnsi="方正小标宋简体" w:eastAsia="方正小标宋简体"/>
          <w:sz w:val="44"/>
          <w:szCs w:val="20"/>
          <w:lang w:val="en-US" w:eastAsia="zh-CN"/>
        </w:rPr>
        <w:t>表</w:t>
      </w:r>
    </w:p>
    <w:tbl>
      <w:tblPr>
        <w:tblStyle w:val="2"/>
        <w:tblW w:w="111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4305"/>
        <w:gridCol w:w="1605"/>
        <w:gridCol w:w="1455"/>
        <w:gridCol w:w="780"/>
        <w:gridCol w:w="762"/>
      </w:tblGrid>
      <w:tr w14:paraId="5423D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2249" w:type="dxa"/>
            <w:shd w:val="clear" w:color="auto" w:fill="auto"/>
            <w:vAlign w:val="center"/>
          </w:tcPr>
          <w:p w14:paraId="51F22E07">
            <w:pPr>
              <w:spacing w:line="360" w:lineRule="auto"/>
              <w:jc w:val="center"/>
              <w:rPr>
                <w:rFonts w:ascii="方正仿宋_GBK" w:hAnsi="等线" w:eastAsia="方正仿宋_GBK"/>
                <w:b/>
                <w:sz w:val="32"/>
                <w:szCs w:val="32"/>
              </w:rPr>
            </w:pPr>
            <w:r>
              <w:rPr>
                <w:rFonts w:ascii="方正仿宋_GBK" w:hAnsi="等线" w:eastAsia="方正仿宋_GBK"/>
                <w:b/>
                <w:sz w:val="32"/>
                <w:szCs w:val="32"/>
              </w:rPr>
              <w:t>评价体系板块</w:t>
            </w:r>
          </w:p>
        </w:tc>
        <w:tc>
          <w:tcPr>
            <w:tcW w:w="4305" w:type="dxa"/>
            <w:shd w:val="clear" w:color="auto" w:fill="auto"/>
            <w:vAlign w:val="center"/>
          </w:tcPr>
          <w:p w14:paraId="52DCAD17">
            <w:pPr>
              <w:spacing w:line="360" w:lineRule="auto"/>
              <w:jc w:val="center"/>
              <w:rPr>
                <w:rFonts w:ascii="方正仿宋_GBK" w:hAnsi="等线" w:eastAsia="方正仿宋_GBK"/>
                <w:b/>
                <w:sz w:val="32"/>
                <w:szCs w:val="32"/>
              </w:rPr>
            </w:pPr>
            <w:r>
              <w:rPr>
                <w:rFonts w:ascii="方正仿宋_GBK" w:hAnsi="等线" w:eastAsia="方正仿宋_GBK"/>
                <w:b/>
                <w:sz w:val="32"/>
                <w:szCs w:val="32"/>
              </w:rPr>
              <w:t>工作评价指标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76E9306E">
            <w:pPr>
              <w:spacing w:line="360" w:lineRule="auto"/>
              <w:jc w:val="center"/>
              <w:rPr>
                <w:rFonts w:ascii="方正仿宋_GBK" w:hAnsi="等线" w:eastAsia="方正仿宋_GBK"/>
                <w:b/>
                <w:sz w:val="32"/>
                <w:szCs w:val="32"/>
              </w:rPr>
            </w:pPr>
            <w:r>
              <w:rPr>
                <w:rFonts w:ascii="方正仿宋_GBK" w:hAnsi="等线" w:eastAsia="方正仿宋_GBK"/>
                <w:b/>
                <w:sz w:val="32"/>
                <w:szCs w:val="32"/>
              </w:rPr>
              <w:t>工作目标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6AF3ED6F">
            <w:pPr>
              <w:spacing w:line="360" w:lineRule="auto"/>
              <w:jc w:val="center"/>
              <w:rPr>
                <w:rFonts w:hint="default" w:ascii="方正仿宋_GBK" w:hAnsi="等线" w:eastAsia="方正仿宋_GBK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等线" w:eastAsia="方正仿宋_GBK"/>
                <w:b/>
                <w:sz w:val="32"/>
                <w:szCs w:val="32"/>
                <w:lang w:val="en-US" w:eastAsia="zh-CN"/>
              </w:rPr>
              <w:t>分数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AE8B6BC">
            <w:pPr>
              <w:spacing w:line="360" w:lineRule="auto"/>
              <w:jc w:val="center"/>
              <w:rPr>
                <w:rFonts w:ascii="方正仿宋_GBK" w:hAnsi="等线" w:eastAsia="方正仿宋_GBK"/>
                <w:b/>
                <w:sz w:val="32"/>
                <w:szCs w:val="32"/>
              </w:rPr>
            </w:pPr>
            <w:r>
              <w:rPr>
                <w:rFonts w:hint="eastAsia" w:ascii="方正仿宋_GBK" w:hAnsi="等线" w:eastAsia="方正仿宋_GBK"/>
                <w:b/>
                <w:sz w:val="32"/>
                <w:szCs w:val="32"/>
              </w:rPr>
              <w:t>自评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3CB70411">
            <w:pPr>
              <w:spacing w:line="360" w:lineRule="auto"/>
              <w:jc w:val="center"/>
              <w:rPr>
                <w:rFonts w:ascii="方正仿宋_GBK" w:hAnsi="等线" w:eastAsia="方正仿宋_GBK"/>
                <w:b/>
                <w:sz w:val="32"/>
                <w:szCs w:val="32"/>
              </w:rPr>
            </w:pPr>
            <w:r>
              <w:rPr>
                <w:rFonts w:hint="eastAsia" w:ascii="方正仿宋_GBK" w:hAnsi="等线" w:eastAsia="方正仿宋_GBK"/>
                <w:b/>
                <w:sz w:val="32"/>
                <w:szCs w:val="32"/>
              </w:rPr>
              <w:t>考评</w:t>
            </w:r>
          </w:p>
        </w:tc>
      </w:tr>
      <w:tr w14:paraId="04CB1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49" w:type="dxa"/>
            <w:vMerge w:val="restart"/>
            <w:shd w:val="clear" w:color="auto" w:fill="auto"/>
            <w:vAlign w:val="center"/>
          </w:tcPr>
          <w:p w14:paraId="11FB1A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  <w:r>
              <w:rPr>
                <w:rFonts w:ascii="方正仿宋_GBK" w:hAnsi="等线" w:eastAsia="方正仿宋_GBK"/>
                <w:sz w:val="24"/>
                <w:szCs w:val="24"/>
              </w:rPr>
              <w:t>年度重点工作</w:t>
            </w:r>
          </w:p>
          <w:p w14:paraId="7EB1BA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</w:pPr>
            <w:r>
              <w:rPr>
                <w:rFonts w:ascii="方正仿宋_GBK" w:hAnsi="等线" w:eastAsia="方正仿宋_GBK"/>
                <w:sz w:val="24"/>
                <w:szCs w:val="24"/>
              </w:rPr>
              <w:t>开展情况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A</w:t>
            </w:r>
          </w:p>
          <w:p w14:paraId="033F31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</w:p>
        </w:tc>
        <w:tc>
          <w:tcPr>
            <w:tcW w:w="4305" w:type="dxa"/>
            <w:shd w:val="clear" w:color="auto" w:fill="auto"/>
            <w:vAlign w:val="center"/>
          </w:tcPr>
          <w:p w14:paraId="2A5AD2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  <w:r>
              <w:rPr>
                <w:rFonts w:ascii="方正仿宋_GBK" w:hAnsi="等线" w:eastAsia="方正仿宋_GBK"/>
                <w:sz w:val="24"/>
                <w:szCs w:val="24"/>
              </w:rPr>
              <w:t>1.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主题教育实践活动完成并有效录入率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794441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  <w:r>
              <w:rPr>
                <w:rFonts w:ascii="方正仿宋_GBK" w:hAnsi="等线" w:eastAsia="方正仿宋_GBK"/>
                <w:sz w:val="24"/>
                <w:szCs w:val="24"/>
              </w:rPr>
              <w:t>达到100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%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4A8FD4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等线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10分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ADA4E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401D1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</w:p>
        </w:tc>
      </w:tr>
      <w:tr w14:paraId="30E0C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49" w:type="dxa"/>
            <w:vMerge w:val="continue"/>
            <w:shd w:val="clear" w:color="auto" w:fill="auto"/>
            <w:vAlign w:val="center"/>
          </w:tcPr>
          <w:p w14:paraId="7DDFCD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</w:p>
        </w:tc>
        <w:tc>
          <w:tcPr>
            <w:tcW w:w="4305" w:type="dxa"/>
            <w:shd w:val="clear" w:color="auto" w:fill="auto"/>
            <w:vAlign w:val="center"/>
          </w:tcPr>
          <w:p w14:paraId="0DEB9D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  <w:r>
              <w:rPr>
                <w:rFonts w:ascii="方正仿宋_GBK" w:hAnsi="等线" w:eastAsia="方正仿宋_GBK"/>
                <w:sz w:val="24"/>
                <w:szCs w:val="24"/>
              </w:rPr>
              <w:t>2.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新发展团员电子志愿书有效录入率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31049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  <w:r>
              <w:rPr>
                <w:rFonts w:ascii="方正仿宋_GBK" w:hAnsi="等线" w:eastAsia="方正仿宋_GBK"/>
                <w:sz w:val="24"/>
                <w:szCs w:val="24"/>
              </w:rPr>
              <w:t>达到100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%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42E1E4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10分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F10E3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5F772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</w:p>
        </w:tc>
      </w:tr>
      <w:tr w14:paraId="28C4E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49" w:type="dxa"/>
            <w:vMerge w:val="continue"/>
            <w:shd w:val="clear" w:color="auto" w:fill="auto"/>
            <w:vAlign w:val="center"/>
          </w:tcPr>
          <w:p w14:paraId="3A554F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</w:p>
        </w:tc>
        <w:tc>
          <w:tcPr>
            <w:tcW w:w="4305" w:type="dxa"/>
            <w:shd w:val="clear" w:color="auto" w:fill="auto"/>
            <w:vAlign w:val="center"/>
          </w:tcPr>
          <w:p w14:paraId="542E54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  <w:r>
              <w:rPr>
                <w:rFonts w:ascii="方正仿宋_GBK" w:hAnsi="等线" w:eastAsia="方正仿宋_GBK"/>
                <w:sz w:val="24"/>
                <w:szCs w:val="24"/>
              </w:rPr>
              <w:t>3.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推优入党率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105A4F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  <w:r>
              <w:rPr>
                <w:rFonts w:ascii="方正仿宋_GBK" w:hAnsi="等线" w:eastAsia="方正仿宋_GBK"/>
                <w:sz w:val="24"/>
                <w:szCs w:val="24"/>
              </w:rPr>
              <w:t>达到100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%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739F72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10分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6E8B1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67EA76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</w:p>
        </w:tc>
      </w:tr>
      <w:tr w14:paraId="36FCC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49" w:type="dxa"/>
            <w:vMerge w:val="continue"/>
            <w:shd w:val="clear" w:color="auto" w:fill="auto"/>
            <w:vAlign w:val="center"/>
          </w:tcPr>
          <w:p w14:paraId="257837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</w:p>
        </w:tc>
        <w:tc>
          <w:tcPr>
            <w:tcW w:w="4305" w:type="dxa"/>
            <w:shd w:val="clear" w:color="auto" w:fill="auto"/>
            <w:vAlign w:val="center"/>
          </w:tcPr>
          <w:p w14:paraId="0FF5A4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  <w:r>
              <w:rPr>
                <w:rFonts w:ascii="方正仿宋_GBK" w:hAnsi="等线" w:eastAsia="方正仿宋_GBK"/>
                <w:sz w:val="24"/>
                <w:szCs w:val="24"/>
              </w:rPr>
              <w:t>4.毕业生团员组织关系转接完成率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5DA576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  <w:r>
              <w:rPr>
                <w:rFonts w:ascii="方正仿宋_GBK" w:hAnsi="等线" w:eastAsia="方正仿宋_GBK"/>
                <w:sz w:val="24"/>
                <w:szCs w:val="24"/>
              </w:rPr>
              <w:t>达到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94</w:t>
            </w:r>
            <w:r>
              <w:rPr>
                <w:rFonts w:ascii="方正仿宋_GBK" w:hAnsi="等线" w:eastAsia="方正仿宋_GBK"/>
                <w:sz w:val="24"/>
                <w:szCs w:val="24"/>
              </w:rPr>
              <w:t>%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2FC5AC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20分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D6A12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957C3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</w:p>
        </w:tc>
      </w:tr>
      <w:tr w14:paraId="0D106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49" w:type="dxa"/>
            <w:vMerge w:val="restart"/>
            <w:shd w:val="clear" w:color="auto" w:fill="auto"/>
            <w:vAlign w:val="center"/>
          </w:tcPr>
          <w:p w14:paraId="1045C8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等线" w:eastAsia="方正仿宋_GBK" w:cs="Times New Roman"/>
                <w:sz w:val="24"/>
                <w:szCs w:val="24"/>
                <w:lang w:val="en-US" w:eastAsia="zh-CN"/>
              </w:rPr>
              <w:t>基础团务工作</w:t>
            </w:r>
          </w:p>
          <w:p w14:paraId="03D5A3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方正仿宋_GBK" w:hAnsi="等线" w:eastAsia="方正仿宋_GBK" w:cs="Times New Roman"/>
                <w:sz w:val="24"/>
                <w:szCs w:val="24"/>
                <w:lang w:val="en-US" w:eastAsia="zh-CN"/>
              </w:rPr>
              <w:t>达标情况B</w:t>
            </w:r>
          </w:p>
        </w:tc>
        <w:tc>
          <w:tcPr>
            <w:tcW w:w="4305" w:type="dxa"/>
            <w:shd w:val="clear" w:color="auto" w:fill="auto"/>
            <w:vAlign w:val="center"/>
          </w:tcPr>
          <w:p w14:paraId="0B3EBE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_GBK" w:hAnsi="等线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等线" w:eastAsia="方正仿宋_GBK" w:cs="Times New Roman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2024年度团员教育评议完成率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01102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  <w:r>
              <w:rPr>
                <w:rFonts w:ascii="方正仿宋_GBK" w:hAnsi="等线" w:eastAsia="方正仿宋_GBK"/>
                <w:sz w:val="24"/>
                <w:szCs w:val="24"/>
              </w:rPr>
              <w:t>达到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64EB1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10分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AB465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65B287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</w:tr>
      <w:tr w14:paraId="53972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49" w:type="dxa"/>
            <w:vMerge w:val="continue"/>
            <w:shd w:val="clear" w:color="auto" w:fill="auto"/>
            <w:vAlign w:val="center"/>
          </w:tcPr>
          <w:p w14:paraId="4A9386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  <w:tc>
          <w:tcPr>
            <w:tcW w:w="4305" w:type="dxa"/>
            <w:shd w:val="clear" w:color="auto" w:fill="auto"/>
            <w:vAlign w:val="center"/>
          </w:tcPr>
          <w:p w14:paraId="1C3362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_GBK" w:hAnsi="等线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等线" w:eastAsia="方正仿宋_GBK" w:cs="Times New Roman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2025年度团籍注册工作完成率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7A4DE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  <w:r>
              <w:rPr>
                <w:rFonts w:ascii="方正仿宋_GBK" w:hAnsi="等线" w:eastAsia="方正仿宋_GBK"/>
                <w:sz w:val="24"/>
                <w:szCs w:val="24"/>
              </w:rPr>
              <w:t>达到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1992A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10分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A4CC6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5E71EC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</w:tr>
      <w:tr w14:paraId="28EF9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49" w:type="dxa"/>
            <w:vMerge w:val="continue"/>
            <w:shd w:val="clear" w:color="auto" w:fill="auto"/>
            <w:vAlign w:val="center"/>
          </w:tcPr>
          <w:p w14:paraId="68C5EE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  <w:tc>
          <w:tcPr>
            <w:tcW w:w="4305" w:type="dxa"/>
            <w:shd w:val="clear" w:color="auto" w:fill="auto"/>
            <w:vAlign w:val="center"/>
          </w:tcPr>
          <w:p w14:paraId="79EDED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_GBK" w:hAnsi="等线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等线" w:eastAsia="方正仿宋_GBK" w:cs="Times New Roman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全年</w:t>
            </w:r>
            <w:r>
              <w:rPr>
                <w:rFonts w:ascii="方正仿宋_GBK" w:hAnsi="等线" w:eastAsia="方正仿宋_GBK"/>
                <w:sz w:val="24"/>
                <w:szCs w:val="24"/>
              </w:rPr>
              <w:t>团费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平均</w:t>
            </w:r>
            <w:r>
              <w:rPr>
                <w:rFonts w:ascii="方正仿宋_GBK" w:hAnsi="等线" w:eastAsia="方正仿宋_GBK"/>
                <w:sz w:val="24"/>
                <w:szCs w:val="24"/>
              </w:rPr>
              <w:t>及时交纳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37CF1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不低于88%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1F6D9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20分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948CC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08EA8B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</w:tr>
      <w:tr w14:paraId="6B70D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49" w:type="dxa"/>
            <w:vMerge w:val="continue"/>
            <w:shd w:val="clear" w:color="auto" w:fill="auto"/>
            <w:vAlign w:val="center"/>
          </w:tcPr>
          <w:p w14:paraId="0BD470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  <w:tc>
          <w:tcPr>
            <w:tcW w:w="4305" w:type="dxa"/>
            <w:shd w:val="clear" w:color="auto" w:fill="auto"/>
            <w:vAlign w:val="center"/>
          </w:tcPr>
          <w:p w14:paraId="769499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8.</w:t>
            </w:r>
            <w:r>
              <w:rPr>
                <w:rFonts w:ascii="方正仿宋_GBK" w:hAnsi="等线" w:eastAsia="方正仿宋_GBK"/>
                <w:sz w:val="24"/>
                <w:szCs w:val="24"/>
              </w:rPr>
              <w:t>团组织超期未换届率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3DC7B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</w:rPr>
              <w:t>不高于5%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324CF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D4B3E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5A96EF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</w:tr>
      <w:tr w14:paraId="6569A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49" w:type="dxa"/>
            <w:vMerge w:val="continue"/>
            <w:shd w:val="clear" w:color="auto" w:fill="auto"/>
            <w:vAlign w:val="center"/>
          </w:tcPr>
          <w:p w14:paraId="629DE1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  <w:tc>
          <w:tcPr>
            <w:tcW w:w="4305" w:type="dxa"/>
            <w:shd w:val="clear" w:color="auto" w:fill="auto"/>
            <w:vAlign w:val="center"/>
          </w:tcPr>
          <w:p w14:paraId="706BCC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9</w:t>
            </w:r>
            <w:r>
              <w:rPr>
                <w:rFonts w:ascii="方正仿宋_GBK" w:hAnsi="等线" w:eastAsia="方正仿宋_GBK"/>
                <w:sz w:val="24"/>
                <w:szCs w:val="24"/>
              </w:rPr>
              <w:t>.基础业务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平均</w:t>
            </w:r>
            <w:r>
              <w:rPr>
                <w:rFonts w:ascii="方正仿宋_GBK" w:hAnsi="等线" w:eastAsia="方正仿宋_GBK"/>
                <w:sz w:val="24"/>
                <w:szCs w:val="24"/>
              </w:rPr>
              <w:t>响应率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72A16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</w:rPr>
              <w:t>不低于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%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34CD60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5FF7F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5CD70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</w:tr>
      <w:tr w14:paraId="5BB28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49" w:type="dxa"/>
            <w:vMerge w:val="restart"/>
            <w:shd w:val="clear" w:color="auto" w:fill="auto"/>
            <w:vAlign w:val="center"/>
          </w:tcPr>
          <w:p w14:paraId="5FED83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ascii="方正仿宋_GBK" w:hAnsi="等线" w:eastAsia="方正仿宋_GBK" w:cs="Times New Roman"/>
                <w:sz w:val="24"/>
                <w:szCs w:val="24"/>
                <w:lang w:val="en-US" w:eastAsia="zh-CN"/>
              </w:rPr>
              <w:t>团的基层亮点</w:t>
            </w:r>
          </w:p>
          <w:p w14:paraId="002C64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等线" w:eastAsia="方正仿宋_GBK" w:cs="Times New Roman"/>
                <w:sz w:val="24"/>
                <w:szCs w:val="24"/>
                <w:lang w:val="en-US"/>
              </w:rPr>
            </w:pPr>
            <w:r>
              <w:rPr>
                <w:rFonts w:ascii="方正仿宋_GBK" w:hAnsi="等线" w:eastAsia="方正仿宋_GBK" w:cs="Times New Roman"/>
                <w:sz w:val="24"/>
                <w:szCs w:val="24"/>
                <w:lang w:val="en-US" w:eastAsia="zh-CN"/>
              </w:rPr>
              <w:t>建设</w:t>
            </w:r>
            <w:r>
              <w:rPr>
                <w:rFonts w:hint="eastAsia" w:ascii="方正仿宋_GBK" w:hAnsi="等线" w:eastAsia="方正仿宋_GBK" w:cs="Times New Roman"/>
                <w:sz w:val="24"/>
                <w:szCs w:val="24"/>
                <w:lang w:val="en-US" w:eastAsia="zh-CN"/>
              </w:rPr>
              <w:t>C</w:t>
            </w:r>
          </w:p>
          <w:p w14:paraId="49B51B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  <w:r>
              <w:rPr>
                <w:rFonts w:hint="eastAsia" w:ascii="方正仿宋_GBK" w:hAnsi="等线" w:eastAsia="方正仿宋_GBK" w:cs="Times New Roman"/>
                <w:sz w:val="24"/>
                <w:szCs w:val="24"/>
                <w:lang w:val="en-US" w:eastAsia="zh-CN"/>
              </w:rPr>
              <w:t>(加成指标)</w:t>
            </w:r>
          </w:p>
        </w:tc>
        <w:tc>
          <w:tcPr>
            <w:tcW w:w="4305" w:type="dxa"/>
            <w:shd w:val="clear" w:color="auto" w:fill="auto"/>
            <w:vAlign w:val="center"/>
          </w:tcPr>
          <w:p w14:paraId="7BFAC3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1.团支部到社区实践活动完成</w:t>
            </w:r>
          </w:p>
          <w:p w14:paraId="0ADD47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7C1B49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不低于25%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7DBBF0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达标加5分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3DCB1C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5E3BF2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</w:tr>
      <w:tr w14:paraId="275ED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49" w:type="dxa"/>
            <w:vMerge w:val="continue"/>
            <w:shd w:val="clear" w:color="auto" w:fill="auto"/>
            <w:vAlign w:val="center"/>
          </w:tcPr>
          <w:p w14:paraId="0E9C2F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  <w:tc>
          <w:tcPr>
            <w:tcW w:w="4305" w:type="dxa"/>
            <w:shd w:val="clear" w:color="auto" w:fill="auto"/>
            <w:vAlign w:val="center"/>
          </w:tcPr>
          <w:p w14:paraId="5DD1C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.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团支部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书记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工作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述职评议率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3EC22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达到100%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7FC705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达标加5分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1BACC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1A9145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</w:tr>
      <w:tr w14:paraId="13558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49" w:type="dxa"/>
            <w:vMerge w:val="continue"/>
            <w:shd w:val="clear" w:color="auto" w:fill="auto"/>
            <w:vAlign w:val="center"/>
          </w:tcPr>
          <w:p w14:paraId="3C775E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  <w:tc>
          <w:tcPr>
            <w:tcW w:w="4305" w:type="dxa"/>
            <w:shd w:val="clear" w:color="auto" w:fill="auto"/>
            <w:vAlign w:val="center"/>
          </w:tcPr>
          <w:p w14:paraId="7650AB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3.青年讲师团建立情况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6422B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至少建立1支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7ACE48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达标加5分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67FC6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6B5BCB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</w:tr>
      <w:tr w14:paraId="338EF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49" w:type="dxa"/>
            <w:vMerge w:val="continue"/>
            <w:shd w:val="clear" w:color="auto" w:fill="auto"/>
            <w:vAlign w:val="center"/>
          </w:tcPr>
          <w:p w14:paraId="1CA592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  <w:tc>
          <w:tcPr>
            <w:tcW w:w="4305" w:type="dxa"/>
            <w:shd w:val="clear" w:color="auto" w:fill="auto"/>
            <w:vAlign w:val="center"/>
          </w:tcPr>
          <w:p w14:paraId="70DC70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4.校级青马班结业率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73E3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达到100%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0144F1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达标加5分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56C73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E6B80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 w:cs="Times New Roman"/>
                <w:sz w:val="24"/>
                <w:szCs w:val="24"/>
              </w:rPr>
            </w:pPr>
          </w:p>
        </w:tc>
      </w:tr>
    </w:tbl>
    <w:p w14:paraId="06071A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方正仿宋_GBK" w:hAnsi="等线" w:eastAsia="方正仿宋_GBK"/>
          <w:sz w:val="24"/>
          <w:szCs w:val="24"/>
          <w:lang w:val="en-US" w:eastAsia="zh-CN"/>
        </w:rPr>
      </w:pPr>
      <w:r>
        <w:rPr>
          <w:rFonts w:hint="eastAsia" w:ascii="方正仿宋_GBK" w:hAnsi="等线" w:eastAsia="方正仿宋_GBK"/>
          <w:sz w:val="24"/>
          <w:szCs w:val="24"/>
          <w:lang w:val="en-US" w:eastAsia="zh-CN"/>
        </w:rPr>
        <w:t>备注：</w:t>
      </w:r>
    </w:p>
    <w:p w14:paraId="0BC11F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方正仿宋_GBK" w:hAnsi="等线" w:eastAsia="方正仿宋_GBK"/>
          <w:sz w:val="24"/>
          <w:szCs w:val="24"/>
          <w:lang w:val="en-US" w:eastAsia="zh-CN"/>
        </w:rPr>
      </w:pPr>
      <w:r>
        <w:rPr>
          <w:rFonts w:hint="eastAsia" w:ascii="方正仿宋_GBK" w:hAnsi="等线" w:eastAsia="方正仿宋_GBK"/>
          <w:sz w:val="24"/>
          <w:szCs w:val="24"/>
          <w:lang w:val="en-US" w:eastAsia="zh-CN"/>
        </w:rPr>
        <w:t>1.年度考核评价共分为四个等级，分别为优秀、良好、合格、不合格。</w:t>
      </w:r>
    </w:p>
    <w:p w14:paraId="1B28A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方正仿宋_GBK" w:hAnsi="等线" w:eastAsia="方正仿宋_GBK"/>
          <w:sz w:val="24"/>
          <w:szCs w:val="24"/>
          <w:lang w:val="en-US" w:eastAsia="zh-CN"/>
        </w:rPr>
      </w:pPr>
      <w:r>
        <w:rPr>
          <w:rFonts w:hint="eastAsia" w:ascii="方正仿宋_GBK" w:hAnsi="等线" w:eastAsia="方正仿宋_GBK"/>
          <w:sz w:val="24"/>
          <w:szCs w:val="24"/>
          <w:lang w:val="en-US" w:eastAsia="zh-CN"/>
        </w:rPr>
        <w:t>2.M=A+B+C*50%。表格中A和B的计算所用数据一律以“智慧团建”系统中呈现数据为准；C的计算所用数据根据各院（系）提供的数据为准。其中，M≥90分，年度考核评价评为“优秀”；80≤M＜90分，年度考核评价为“良好”；60≤M＜80分，年度考核评价为“合格”；0≤M＜60分，年度考核评价为“不合格”。</w:t>
      </w:r>
    </w:p>
    <w:p w14:paraId="5BD80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default" w:ascii="方正仿宋_GBK" w:hAnsi="等线" w:eastAsia="方正仿宋_GBK"/>
          <w:sz w:val="24"/>
          <w:szCs w:val="24"/>
          <w:lang w:val="en-US" w:eastAsia="zh-CN"/>
        </w:rPr>
      </w:pPr>
      <w:r>
        <w:rPr>
          <w:rFonts w:hint="eastAsia" w:ascii="方正仿宋_GBK" w:hAnsi="等线" w:eastAsia="方正仿宋_GBK"/>
          <w:sz w:val="24"/>
          <w:szCs w:val="24"/>
          <w:lang w:val="en-US" w:eastAsia="zh-CN"/>
        </w:rPr>
        <w:t>3.上交该表时，请将备注删掉。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5YjM0ODU0MmVlNDY0N2JkNWI5YTNkMmFiNWMzZGYifQ=="/>
  </w:docVars>
  <w:rsids>
    <w:rsidRoot w:val="00496759"/>
    <w:rsid w:val="001570FD"/>
    <w:rsid w:val="00277C36"/>
    <w:rsid w:val="00292B83"/>
    <w:rsid w:val="00477E0A"/>
    <w:rsid w:val="00494A86"/>
    <w:rsid w:val="00496759"/>
    <w:rsid w:val="00820146"/>
    <w:rsid w:val="00E30E35"/>
    <w:rsid w:val="04A20B82"/>
    <w:rsid w:val="177523EE"/>
    <w:rsid w:val="3ADD115B"/>
    <w:rsid w:val="520C0415"/>
    <w:rsid w:val="69DB1C92"/>
    <w:rsid w:val="7E4D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531</Words>
  <Characters>616</Characters>
  <Lines>5</Lines>
  <Paragraphs>1</Paragraphs>
  <TotalTime>7</TotalTime>
  <ScaleCrop>false</ScaleCrop>
  <LinksUpToDate>false</LinksUpToDate>
  <CharactersWithSpaces>616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2023-12-04T03:49:00Z</dcterms:created>
  <dc:creator>ly</dc:creator>
  <cp:lastModifiedBy>明月别枝.</cp:lastModifiedBy>
  <cp:lastPrinted>2024-11-15T03:30:00Z</cp:lastPrinted>
  <dcterms:modified xsi:type="dcterms:W3CDTF">2024-11-20T06:50:02Z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22BE6CE845814B08A4751B99071C4318_13</vt:lpwstr>
  </property>
</Properties>
</file>