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A6BAA">
      <w:pPr>
        <w:jc w:val="center"/>
        <w:outlineLvl w:val="0"/>
        <w:rPr>
          <w:rFonts w:ascii="方正小标宋简体" w:hAnsi="宋体" w:eastAsia="方正小标宋简体"/>
          <w:bCs/>
          <w:sz w:val="44"/>
          <w:szCs w:val="44"/>
          <w:highlight w:val="none"/>
        </w:rPr>
      </w:pPr>
      <w:bookmarkStart w:id="1" w:name="_GoBack"/>
      <w:bookmarkStart w:id="0" w:name="_Toc192844215"/>
      <w:r>
        <w:rPr>
          <w:rFonts w:hint="eastAsia" w:ascii="方正小标宋简体" w:hAnsi="宋体" w:eastAsia="方正小标宋简体"/>
          <w:bCs/>
          <w:sz w:val="44"/>
          <w:szCs w:val="44"/>
          <w:highlight w:val="none"/>
        </w:rPr>
        <w:t>广州软件学院教学质量与教学改革工程项目管理办法实施细则</w:t>
      </w:r>
      <w:bookmarkEnd w:id="1"/>
      <w:bookmarkEnd w:id="0"/>
    </w:p>
    <w:p w14:paraId="27148B54">
      <w:pPr>
        <w:spacing w:line="600" w:lineRule="exact"/>
        <w:jc w:val="center"/>
        <w:rPr>
          <w:rFonts w:ascii="黑体" w:hAnsi="黑体" w:eastAsia="黑体"/>
          <w:sz w:val="28"/>
          <w:szCs w:val="28"/>
          <w:highlight w:val="none"/>
        </w:rPr>
      </w:pPr>
    </w:p>
    <w:p w14:paraId="3727347B">
      <w:pPr>
        <w:spacing w:before="312" w:beforeLines="100" w:line="600" w:lineRule="exact"/>
        <w:jc w:val="center"/>
        <w:rPr>
          <w:rFonts w:ascii="黑体" w:hAnsi="黑体" w:eastAsia="黑体"/>
          <w:sz w:val="32"/>
          <w:szCs w:val="32"/>
          <w:highlight w:val="none"/>
        </w:rPr>
      </w:pPr>
      <w:r>
        <w:rPr>
          <w:rFonts w:hint="eastAsia" w:ascii="黑体" w:hAnsi="黑体" w:eastAsia="黑体"/>
          <w:sz w:val="32"/>
          <w:szCs w:val="32"/>
          <w:highlight w:val="none"/>
        </w:rPr>
        <w:t>第一部分 总则</w:t>
      </w:r>
    </w:p>
    <w:p w14:paraId="6B435AAF">
      <w:pPr>
        <w:spacing w:line="600" w:lineRule="exact"/>
        <w:ind w:firstLine="643" w:firstLineChars="200"/>
        <w:rPr>
          <w:rFonts w:ascii="仿宋_GB2312" w:eastAsia="仿宋_GB2312"/>
          <w:sz w:val="32"/>
          <w:szCs w:val="32"/>
          <w:highlight w:val="none"/>
        </w:rPr>
      </w:pPr>
      <w:r>
        <w:rPr>
          <w:rFonts w:hint="eastAsia" w:ascii="仿宋_GB2312" w:hAnsi="黑体" w:eastAsia="仿宋_GB2312"/>
          <w:b/>
          <w:sz w:val="32"/>
          <w:szCs w:val="32"/>
          <w:highlight w:val="none"/>
        </w:rPr>
        <w:t xml:space="preserve">第一条 </w:t>
      </w:r>
      <w:r>
        <w:rPr>
          <w:rFonts w:hint="eastAsia" w:ascii="仿宋_GB2312" w:eastAsia="仿宋_GB2312"/>
          <w:sz w:val="32"/>
          <w:szCs w:val="32"/>
          <w:highlight w:val="none"/>
        </w:rPr>
        <w:t xml:space="preserve"> 为推进学校本科教育建设和发展，提升人才培养质量，规范我校教学质量与教学改革工程项目（以下简称“项目”）管理，确保项目建设取得实效，根据《广州软件学院本科教学质量与教学改革工程项目管理办法》、《广州软件学院本科教学质量与教学改革工程专项资金管理办法》，结合我校实际，制订本实施细则。</w:t>
      </w:r>
    </w:p>
    <w:p w14:paraId="26861CBF">
      <w:pPr>
        <w:spacing w:line="600" w:lineRule="exact"/>
        <w:ind w:firstLine="643" w:firstLineChars="200"/>
        <w:rPr>
          <w:rFonts w:ascii="仿宋_GB2312" w:eastAsia="仿宋_GB2312"/>
          <w:sz w:val="32"/>
          <w:szCs w:val="32"/>
          <w:highlight w:val="none"/>
        </w:rPr>
      </w:pPr>
      <w:r>
        <w:rPr>
          <w:rFonts w:hint="eastAsia" w:ascii="仿宋_GB2312" w:eastAsia="仿宋_GB2312"/>
          <w:b/>
          <w:sz w:val="32"/>
          <w:szCs w:val="32"/>
          <w:highlight w:val="none"/>
        </w:rPr>
        <w:t xml:space="preserve">第二条  </w:t>
      </w:r>
      <w:r>
        <w:rPr>
          <w:rFonts w:hint="eastAsia" w:ascii="仿宋_GB2312" w:eastAsia="仿宋_GB2312"/>
          <w:sz w:val="32"/>
          <w:szCs w:val="32"/>
          <w:highlight w:val="none"/>
        </w:rPr>
        <w:t>本办法涉及的项目包括国家级、省级和校级项目。</w:t>
      </w:r>
    </w:p>
    <w:p w14:paraId="3001E9E2">
      <w:pPr>
        <w:spacing w:line="60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（一）国家级、省级项目，指教育部、省教育厅发文公布获准立项并委托学校管理的项目。</w:t>
      </w:r>
    </w:p>
    <w:p w14:paraId="4802354C">
      <w:pPr>
        <w:spacing w:line="60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（二）校级项目，指学校根据上级教育部门公布的质量工程建设实施方案中的项目类型，结合我校教学建设的阶段性要求，立项建设的项目。</w:t>
      </w:r>
    </w:p>
    <w:p w14:paraId="2B03E3CE">
      <w:pPr>
        <w:spacing w:line="600" w:lineRule="exact"/>
        <w:ind w:firstLine="630" w:firstLineChars="196"/>
        <w:rPr>
          <w:rFonts w:ascii="仿宋_GB2312" w:eastAsia="仿宋_GB2312"/>
          <w:color w:val="FF0000"/>
          <w:sz w:val="32"/>
          <w:szCs w:val="32"/>
          <w:highlight w:val="none"/>
        </w:rPr>
      </w:pPr>
      <w:r>
        <w:rPr>
          <w:rFonts w:hint="eastAsia" w:ascii="仿宋_GB2312" w:eastAsia="仿宋_GB2312"/>
          <w:b/>
          <w:sz w:val="32"/>
          <w:szCs w:val="32"/>
          <w:highlight w:val="none"/>
        </w:rPr>
        <w:t xml:space="preserve">第三条 </w:t>
      </w:r>
      <w:r>
        <w:rPr>
          <w:rFonts w:hint="eastAsia" w:ascii="仿宋_GB2312" w:eastAsia="仿宋_GB2312"/>
          <w:sz w:val="32"/>
          <w:szCs w:val="32"/>
          <w:highlight w:val="none"/>
        </w:rPr>
        <w:t xml:space="preserve"> 项目实行分类别、分层次管理。按照项目类别分为学校集体项目、学院集体项目和个人项目三类。按照层次分为国家级、省级和校级项目。</w:t>
      </w:r>
    </w:p>
    <w:p w14:paraId="4E319B97">
      <w:pPr>
        <w:spacing w:line="600" w:lineRule="exact"/>
        <w:ind w:firstLine="630" w:firstLineChars="196"/>
        <w:rPr>
          <w:rFonts w:ascii="仿宋_GB2312" w:hAnsi="宋体" w:eastAsia="仿宋_GB2312"/>
          <w:sz w:val="32"/>
          <w:szCs w:val="32"/>
          <w:highlight w:val="none"/>
        </w:rPr>
      </w:pPr>
      <w:r>
        <w:rPr>
          <w:rFonts w:hint="eastAsia" w:ascii="仿宋_GB2312" w:hAnsi="宋体" w:eastAsia="仿宋_GB2312"/>
          <w:b/>
          <w:sz w:val="32"/>
          <w:szCs w:val="32"/>
          <w:highlight w:val="none"/>
        </w:rPr>
        <w:t>第四条</w:t>
      </w:r>
      <w:r>
        <w:rPr>
          <w:rFonts w:hint="eastAsia" w:ascii="仿宋_GB2312" w:hAnsi="宋体" w:eastAsia="仿宋_GB2312"/>
          <w:sz w:val="32"/>
          <w:szCs w:val="32"/>
          <w:highlight w:val="none"/>
        </w:rPr>
        <w:t xml:space="preserve"> </w:t>
      </w:r>
      <w:r>
        <w:rPr>
          <w:rFonts w:ascii="仿宋_GB2312" w:hAnsi="宋体" w:eastAsia="仿宋_GB2312"/>
          <w:sz w:val="32"/>
          <w:szCs w:val="32"/>
          <w:highlight w:val="none"/>
        </w:rPr>
        <w:t xml:space="preserve"> </w:t>
      </w:r>
      <w:r>
        <w:rPr>
          <w:rFonts w:hint="eastAsia" w:ascii="仿宋_GB2312" w:hAnsi="宋体" w:eastAsia="仿宋_GB2312"/>
          <w:sz w:val="32"/>
          <w:szCs w:val="32"/>
          <w:highlight w:val="none"/>
        </w:rPr>
        <w:t>质量工程项目的建设内容分为以下类型：</w:t>
      </w:r>
    </w:p>
    <w:p w14:paraId="3AF7EBFA">
      <w:pPr>
        <w:spacing w:line="600" w:lineRule="exact"/>
        <w:ind w:firstLine="640" w:firstLineChars="200"/>
        <w:rPr>
          <w:rFonts w:ascii="仿宋_GB2312" w:hAnsi="宋体" w:eastAsia="仿宋_GB2312"/>
          <w:color w:val="FF0000"/>
          <w:sz w:val="32"/>
          <w:szCs w:val="32"/>
          <w:highlight w:val="none"/>
        </w:rPr>
      </w:pPr>
      <w:r>
        <w:rPr>
          <w:rFonts w:hint="eastAsia" w:ascii="仿宋_GB2312" w:hAnsi="宋体" w:eastAsia="仿宋_GB2312"/>
          <w:sz w:val="32"/>
          <w:szCs w:val="32"/>
          <w:highlight w:val="none"/>
        </w:rPr>
        <w:t>1.专业类项目：</w:t>
      </w:r>
      <w:r>
        <w:rPr>
          <w:rFonts w:hint="eastAsia" w:ascii="仿宋_GB2312" w:hAnsi="宋体" w:eastAsia="仿宋_GB2312"/>
          <w:color w:val="auto"/>
          <w:sz w:val="32"/>
          <w:szCs w:val="32"/>
          <w:highlight w:val="none"/>
        </w:rPr>
        <w:t>重点专业、特色专业；</w:t>
      </w:r>
    </w:p>
    <w:p w14:paraId="54C75701">
      <w:pPr>
        <w:spacing w:line="600" w:lineRule="exact"/>
        <w:ind w:firstLine="640" w:firstLineChars="200"/>
        <w:rPr>
          <w:rFonts w:ascii="仿宋_GB2312" w:hAnsi="宋体" w:eastAsia="仿宋_GB2312"/>
          <w:sz w:val="32"/>
          <w:szCs w:val="32"/>
          <w:highlight w:val="none"/>
        </w:rPr>
      </w:pPr>
      <w:r>
        <w:rPr>
          <w:rFonts w:hint="eastAsia" w:ascii="仿宋_GB2312" w:hAnsi="宋体" w:eastAsia="仿宋_GB2312"/>
          <w:color w:val="auto"/>
          <w:sz w:val="32"/>
          <w:szCs w:val="32"/>
          <w:highlight w:val="none"/>
        </w:rPr>
        <w:t>2.课程类项目：在线开放课程、一流课程</w:t>
      </w:r>
      <w:r>
        <w:rPr>
          <w:rFonts w:hint="eastAsia" w:ascii="仿宋_GB2312" w:hAnsi="宋体" w:eastAsia="仿宋_GB2312"/>
          <w:sz w:val="32"/>
          <w:szCs w:val="32"/>
          <w:highlight w:val="none"/>
        </w:rPr>
        <w:t>；</w:t>
      </w:r>
    </w:p>
    <w:p w14:paraId="455D27D3">
      <w:pPr>
        <w:spacing w:line="60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3.教材类项目：精品教材；</w:t>
      </w:r>
    </w:p>
    <w:p w14:paraId="7D2214FD">
      <w:pPr>
        <w:spacing w:line="60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4.实践教学类项目：</w:t>
      </w:r>
      <w:r>
        <w:rPr>
          <w:rFonts w:hint="eastAsia" w:ascii="仿宋_GB2312" w:hAnsi="宋体" w:eastAsia="仿宋_GB2312" w:cs="宋体"/>
          <w:kern w:val="0"/>
          <w:sz w:val="32"/>
          <w:szCs w:val="32"/>
          <w:highlight w:val="none"/>
        </w:rPr>
        <w:t>实验教学示范中心、大学生实践教学基地、虚拟仿真实验教学示范中心</w:t>
      </w:r>
      <w:r>
        <w:rPr>
          <w:rFonts w:hint="eastAsia" w:ascii="仿宋_GB2312" w:hAnsi="宋体" w:eastAsia="仿宋_GB2312"/>
          <w:sz w:val="32"/>
          <w:szCs w:val="32"/>
          <w:highlight w:val="none"/>
        </w:rPr>
        <w:t>；</w:t>
      </w:r>
    </w:p>
    <w:p w14:paraId="21E87038">
      <w:pPr>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sz w:val="32"/>
          <w:szCs w:val="32"/>
          <w:highlight w:val="none"/>
        </w:rPr>
        <w:t>5.教师教学类项目：</w:t>
      </w:r>
      <w:r>
        <w:rPr>
          <w:rFonts w:hint="eastAsia" w:ascii="仿宋_GB2312" w:hAnsi="宋体" w:eastAsia="仿宋_GB2312" w:cs="宋体"/>
          <w:kern w:val="0"/>
          <w:sz w:val="32"/>
          <w:szCs w:val="32"/>
          <w:highlight w:val="none"/>
        </w:rPr>
        <w:t>教师教学发展中心</w:t>
      </w:r>
      <w:r>
        <w:rPr>
          <w:rFonts w:hint="eastAsia" w:ascii="仿宋_GB2312" w:hAnsi="宋体" w:eastAsia="仿宋_GB2312"/>
          <w:sz w:val="32"/>
          <w:szCs w:val="32"/>
          <w:highlight w:val="none"/>
        </w:rPr>
        <w:t>、</w:t>
      </w:r>
      <w:r>
        <w:rPr>
          <w:rFonts w:hint="eastAsia" w:ascii="仿宋_GB2312" w:hAnsi="宋体" w:eastAsia="仿宋_GB2312" w:cs="宋体"/>
          <w:kern w:val="0"/>
          <w:sz w:val="32"/>
          <w:szCs w:val="32"/>
          <w:highlight w:val="none"/>
        </w:rPr>
        <w:t>教学团队、教学名师、教育教学改革项目；</w:t>
      </w:r>
    </w:p>
    <w:p w14:paraId="478C3367">
      <w:pPr>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6.</w:t>
      </w:r>
      <w:r>
        <w:rPr>
          <w:rFonts w:hint="eastAsia" w:ascii="仿宋_GB2312" w:hAnsi="宋体" w:eastAsia="仿宋_GB2312"/>
          <w:sz w:val="32"/>
          <w:szCs w:val="32"/>
          <w:highlight w:val="none"/>
        </w:rPr>
        <w:t>综合改革类项目：</w:t>
      </w:r>
      <w:r>
        <w:rPr>
          <w:rFonts w:hint="eastAsia" w:ascii="仿宋_GB2312" w:hAnsi="宋体" w:eastAsia="仿宋_GB2312" w:cs="宋体"/>
          <w:kern w:val="0"/>
          <w:sz w:val="32"/>
          <w:szCs w:val="32"/>
          <w:highlight w:val="none"/>
        </w:rPr>
        <w:t>试点学院</w:t>
      </w:r>
      <w:r>
        <w:rPr>
          <w:rFonts w:hint="eastAsia" w:ascii="仿宋_GB2312" w:hAnsi="宋体" w:eastAsia="仿宋_GB2312"/>
          <w:sz w:val="32"/>
          <w:szCs w:val="32"/>
          <w:highlight w:val="none"/>
        </w:rPr>
        <w:t>、</w:t>
      </w:r>
      <w:r>
        <w:rPr>
          <w:rFonts w:hint="eastAsia" w:ascii="仿宋_GB2312" w:hAnsi="宋体" w:eastAsia="仿宋_GB2312" w:cs="宋体"/>
          <w:kern w:val="0"/>
          <w:sz w:val="32"/>
          <w:szCs w:val="32"/>
          <w:highlight w:val="none"/>
        </w:rPr>
        <w:t>人才培养模式创新实验区；</w:t>
      </w:r>
    </w:p>
    <w:p w14:paraId="25EB32E1">
      <w:pPr>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7.</w:t>
      </w:r>
      <w:r>
        <w:rPr>
          <w:rFonts w:hint="eastAsia" w:ascii="仿宋_GB2312" w:hAnsi="宋体" w:eastAsia="仿宋_GB2312"/>
          <w:sz w:val="32"/>
          <w:szCs w:val="32"/>
          <w:highlight w:val="none"/>
        </w:rPr>
        <w:t>创新创业类项目：</w:t>
      </w:r>
      <w:r>
        <w:rPr>
          <w:rFonts w:hint="eastAsia" w:ascii="仿宋_GB2312" w:hAnsi="宋体" w:eastAsia="仿宋_GB2312" w:cs="宋体"/>
          <w:kern w:val="0"/>
          <w:sz w:val="32"/>
          <w:szCs w:val="32"/>
          <w:highlight w:val="none"/>
        </w:rPr>
        <w:t>创新创业教育示范校、创新创业教育示范基地、大学生创新创业训练计划项目；</w:t>
      </w:r>
    </w:p>
    <w:p w14:paraId="041A96AD">
      <w:pPr>
        <w:spacing w:line="60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8.专项人才培养计划：卓越工程师教育培养计划、卓越文科人才教育培养计划、基础学科拔尖创新人才教育培养计划。</w:t>
      </w:r>
    </w:p>
    <w:p w14:paraId="5968D9CF">
      <w:pPr>
        <w:spacing w:line="60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以上类型可根据学校阶段性发展目标和发展任务进行调整。</w:t>
      </w:r>
    </w:p>
    <w:p w14:paraId="29CE6D73">
      <w:pPr>
        <w:tabs>
          <w:tab w:val="left" w:pos="360"/>
        </w:tabs>
        <w:spacing w:line="600" w:lineRule="exact"/>
        <w:ind w:firstLine="643" w:firstLineChars="200"/>
        <w:rPr>
          <w:rFonts w:ascii="仿宋_GB2312" w:hAnsi="宋体" w:eastAsia="仿宋_GB2312"/>
          <w:sz w:val="32"/>
          <w:szCs w:val="32"/>
          <w:highlight w:val="none"/>
        </w:rPr>
      </w:pPr>
      <w:r>
        <w:rPr>
          <w:rFonts w:hint="eastAsia" w:ascii="仿宋_GB2312" w:hAnsi="宋体" w:eastAsia="仿宋_GB2312"/>
          <w:b/>
          <w:sz w:val="32"/>
          <w:szCs w:val="32"/>
          <w:highlight w:val="none"/>
        </w:rPr>
        <w:t>第五条</w:t>
      </w:r>
      <w:r>
        <w:rPr>
          <w:rFonts w:hint="eastAsia" w:ascii="仿宋_GB2312" w:hAnsi="宋体" w:eastAsia="仿宋_GB2312"/>
          <w:sz w:val="32"/>
          <w:szCs w:val="32"/>
          <w:highlight w:val="none"/>
        </w:rPr>
        <w:t xml:space="preserve"> </w:t>
      </w:r>
      <w:r>
        <w:rPr>
          <w:rFonts w:ascii="仿宋_GB2312" w:hAnsi="宋体" w:eastAsia="仿宋_GB2312"/>
          <w:sz w:val="32"/>
          <w:szCs w:val="32"/>
          <w:highlight w:val="none"/>
        </w:rPr>
        <w:t xml:space="preserve"> </w:t>
      </w:r>
      <w:r>
        <w:rPr>
          <w:rFonts w:hint="eastAsia" w:ascii="仿宋_GB2312" w:hAnsi="宋体" w:eastAsia="仿宋_GB2312"/>
          <w:sz w:val="32"/>
          <w:szCs w:val="32"/>
          <w:highlight w:val="none"/>
        </w:rPr>
        <w:t>本办法涉及的项目建设周期为2-</w:t>
      </w:r>
      <w:r>
        <w:rPr>
          <w:rFonts w:ascii="仿宋_GB2312" w:hAnsi="宋体" w:eastAsia="仿宋_GB2312"/>
          <w:sz w:val="32"/>
          <w:szCs w:val="32"/>
          <w:highlight w:val="none"/>
        </w:rPr>
        <w:t>3</w:t>
      </w:r>
      <w:r>
        <w:rPr>
          <w:rFonts w:hint="eastAsia" w:ascii="仿宋_GB2312" w:hAnsi="宋体" w:eastAsia="仿宋_GB2312"/>
          <w:sz w:val="32"/>
          <w:szCs w:val="32"/>
          <w:highlight w:val="none"/>
        </w:rPr>
        <w:t>年，大学生创新创业训练计划项目建设周期为1年。</w:t>
      </w:r>
    </w:p>
    <w:p w14:paraId="428FCDD4">
      <w:pPr>
        <w:tabs>
          <w:tab w:val="left" w:pos="360"/>
        </w:tabs>
        <w:spacing w:line="600" w:lineRule="exact"/>
        <w:ind w:firstLine="643" w:firstLineChars="200"/>
        <w:rPr>
          <w:rFonts w:ascii="仿宋_GB2312" w:hAnsi="宋体" w:eastAsia="仿宋_GB2312"/>
          <w:sz w:val="32"/>
          <w:szCs w:val="32"/>
          <w:highlight w:val="none"/>
        </w:rPr>
      </w:pPr>
      <w:r>
        <w:rPr>
          <w:rFonts w:hint="eastAsia" w:ascii="仿宋_GB2312" w:hAnsi="宋体" w:eastAsia="仿宋_GB2312"/>
          <w:b/>
          <w:sz w:val="32"/>
          <w:szCs w:val="32"/>
          <w:highlight w:val="none"/>
        </w:rPr>
        <w:t>第六条</w:t>
      </w:r>
      <w:r>
        <w:rPr>
          <w:rFonts w:hint="eastAsia" w:ascii="仿宋_GB2312" w:hAnsi="宋体" w:eastAsia="仿宋_GB2312"/>
          <w:sz w:val="32"/>
          <w:szCs w:val="32"/>
          <w:highlight w:val="none"/>
        </w:rPr>
        <w:t xml:space="preserve"> </w:t>
      </w:r>
      <w:r>
        <w:rPr>
          <w:rFonts w:ascii="仿宋_GB2312" w:hAnsi="宋体" w:eastAsia="仿宋_GB2312"/>
          <w:sz w:val="32"/>
          <w:szCs w:val="32"/>
          <w:highlight w:val="none"/>
        </w:rPr>
        <w:t xml:space="preserve"> </w:t>
      </w:r>
      <w:r>
        <w:rPr>
          <w:rFonts w:hint="eastAsia" w:ascii="仿宋_GB2312" w:hAnsi="宋体" w:eastAsia="仿宋_GB2312"/>
          <w:sz w:val="32"/>
          <w:szCs w:val="32"/>
          <w:highlight w:val="none"/>
        </w:rPr>
        <w:t>项目实施过程包括：项目申报与评审、项目开题论证、项目中期检查以及项目结题验收。</w:t>
      </w:r>
    </w:p>
    <w:p w14:paraId="3A1E5E36">
      <w:pPr>
        <w:spacing w:line="600" w:lineRule="exact"/>
        <w:ind w:firstLine="200"/>
        <w:jc w:val="center"/>
        <w:rPr>
          <w:rFonts w:ascii="黑体" w:hAnsi="黑体" w:eastAsia="黑体"/>
          <w:sz w:val="32"/>
          <w:szCs w:val="32"/>
          <w:highlight w:val="none"/>
        </w:rPr>
      </w:pPr>
      <w:r>
        <w:rPr>
          <w:rFonts w:hint="eastAsia" w:ascii="黑体" w:hAnsi="黑体" w:eastAsia="黑体"/>
          <w:sz w:val="32"/>
          <w:szCs w:val="32"/>
          <w:highlight w:val="none"/>
        </w:rPr>
        <w:t>第二部分 校级项目</w:t>
      </w:r>
    </w:p>
    <w:p w14:paraId="236E50B9">
      <w:pPr>
        <w:spacing w:line="600" w:lineRule="exact"/>
        <w:ind w:firstLine="200"/>
        <w:jc w:val="center"/>
        <w:rPr>
          <w:rFonts w:ascii="黑体" w:hAnsi="黑体" w:eastAsia="黑体"/>
          <w:b/>
          <w:bCs/>
          <w:sz w:val="32"/>
          <w:szCs w:val="32"/>
          <w:highlight w:val="none"/>
        </w:rPr>
      </w:pPr>
      <w:r>
        <w:rPr>
          <w:rFonts w:hint="eastAsia" w:ascii="黑体" w:hAnsi="黑体" w:eastAsia="黑体"/>
          <w:b/>
          <w:bCs/>
          <w:sz w:val="32"/>
          <w:szCs w:val="32"/>
          <w:highlight w:val="none"/>
        </w:rPr>
        <w:t>第一章 项目申报与评审</w:t>
      </w:r>
    </w:p>
    <w:p w14:paraId="11918A3A">
      <w:pPr>
        <w:spacing w:line="600" w:lineRule="exact"/>
        <w:ind w:firstLine="630" w:firstLineChars="196"/>
        <w:rPr>
          <w:rFonts w:ascii="仿宋_GB2312" w:eastAsia="仿宋_GB2312"/>
          <w:sz w:val="32"/>
          <w:szCs w:val="32"/>
          <w:highlight w:val="none"/>
        </w:rPr>
      </w:pPr>
      <w:r>
        <w:rPr>
          <w:rFonts w:hint="eastAsia" w:ascii="仿宋_GB2312" w:eastAsia="仿宋_GB2312"/>
          <w:b/>
          <w:sz w:val="32"/>
          <w:szCs w:val="32"/>
          <w:highlight w:val="none"/>
        </w:rPr>
        <w:t xml:space="preserve">第七条 </w:t>
      </w:r>
      <w:r>
        <w:rPr>
          <w:rFonts w:ascii="仿宋_GB2312" w:eastAsia="仿宋_GB2312"/>
          <w:b/>
          <w:sz w:val="32"/>
          <w:szCs w:val="32"/>
          <w:highlight w:val="none"/>
        </w:rPr>
        <w:t xml:space="preserve"> </w:t>
      </w:r>
      <w:r>
        <w:rPr>
          <w:rFonts w:hint="eastAsia" w:ascii="仿宋_GB2312" w:eastAsia="仿宋_GB2312"/>
          <w:sz w:val="32"/>
          <w:szCs w:val="32"/>
          <w:highlight w:val="none"/>
        </w:rPr>
        <w:t>校级项目每年组织申报一次，教务处每年1月初发出申报通知，项目申请人在3月中旬报送申报材料。项目申请部门要组织教师做好申报工作，对项目的申报给予指导和支持。各部门可提前储备和培育一批优秀项目。</w:t>
      </w:r>
    </w:p>
    <w:p w14:paraId="48C77D2C">
      <w:pPr>
        <w:spacing w:line="600" w:lineRule="exact"/>
        <w:ind w:firstLine="630" w:firstLineChars="196"/>
        <w:rPr>
          <w:rFonts w:ascii="仿宋_GB2312" w:eastAsia="仿宋_GB2312"/>
          <w:b/>
          <w:sz w:val="32"/>
          <w:szCs w:val="32"/>
          <w:highlight w:val="none"/>
        </w:rPr>
      </w:pPr>
      <w:r>
        <w:rPr>
          <w:rFonts w:hint="eastAsia" w:ascii="仿宋_GB2312" w:eastAsia="仿宋_GB2312"/>
          <w:b/>
          <w:sz w:val="32"/>
          <w:szCs w:val="32"/>
          <w:highlight w:val="none"/>
        </w:rPr>
        <w:t xml:space="preserve">第八条 </w:t>
      </w:r>
      <w:r>
        <w:rPr>
          <w:rFonts w:ascii="仿宋_GB2312" w:eastAsia="仿宋_GB2312"/>
          <w:b/>
          <w:sz w:val="32"/>
          <w:szCs w:val="32"/>
          <w:highlight w:val="none"/>
        </w:rPr>
        <w:t xml:space="preserve"> </w:t>
      </w:r>
      <w:r>
        <w:rPr>
          <w:rFonts w:hint="eastAsia" w:ascii="仿宋_GB2312" w:eastAsia="仿宋_GB2312"/>
          <w:sz w:val="32"/>
          <w:szCs w:val="32"/>
          <w:highlight w:val="none"/>
        </w:rPr>
        <w:t>项目申请人必须为学校在职教职工。有在研项目的项目负责人，不能申报与在研项目同类型的项目；每位教职工最多可同时主持2项在研项目；在两年内有项目结题验收不通过的或因个人原因“终止项目”的不能申报。</w:t>
      </w:r>
    </w:p>
    <w:p w14:paraId="21776272">
      <w:pPr>
        <w:spacing w:line="600" w:lineRule="exact"/>
        <w:ind w:firstLine="630" w:firstLineChars="196"/>
        <w:rPr>
          <w:rFonts w:ascii="仿宋_GB2312" w:eastAsia="仿宋_GB2312"/>
          <w:sz w:val="32"/>
          <w:szCs w:val="32"/>
          <w:highlight w:val="none"/>
        </w:rPr>
      </w:pPr>
      <w:r>
        <w:rPr>
          <w:rFonts w:hint="eastAsia" w:ascii="仿宋_GB2312" w:eastAsia="仿宋_GB2312"/>
          <w:b/>
          <w:sz w:val="32"/>
          <w:szCs w:val="32"/>
          <w:highlight w:val="none"/>
        </w:rPr>
        <w:t xml:space="preserve">第九条  </w:t>
      </w:r>
      <w:r>
        <w:rPr>
          <w:rFonts w:hint="eastAsia" w:ascii="仿宋_GB2312" w:eastAsia="仿宋_GB2312"/>
          <w:sz w:val="32"/>
          <w:szCs w:val="32"/>
          <w:highlight w:val="none"/>
        </w:rPr>
        <w:t>项目申请人须填写《项目申报书》，交所在部门审核，部门负责人签署意见，加盖部门公章，统一整理汇总后，将《项目申报书》和《项目汇总表》（纸质版和电子版各1份）报送教务处。</w:t>
      </w:r>
    </w:p>
    <w:p w14:paraId="1E38CF23">
      <w:pPr>
        <w:spacing w:line="600" w:lineRule="exact"/>
        <w:ind w:firstLine="630" w:firstLineChars="196"/>
        <w:rPr>
          <w:rFonts w:ascii="仿宋_GB2312" w:eastAsia="仿宋_GB2312"/>
          <w:sz w:val="32"/>
          <w:szCs w:val="32"/>
          <w:highlight w:val="none"/>
        </w:rPr>
      </w:pPr>
      <w:r>
        <w:rPr>
          <w:rFonts w:hint="eastAsia" w:ascii="仿宋_GB2312" w:eastAsia="仿宋_GB2312"/>
          <w:b/>
          <w:sz w:val="32"/>
          <w:szCs w:val="32"/>
          <w:highlight w:val="none"/>
        </w:rPr>
        <w:t xml:space="preserve">第十条 </w:t>
      </w:r>
      <w:r>
        <w:rPr>
          <w:rFonts w:ascii="仿宋_GB2312" w:eastAsia="仿宋_GB2312"/>
          <w:b/>
          <w:sz w:val="32"/>
          <w:szCs w:val="32"/>
          <w:highlight w:val="none"/>
        </w:rPr>
        <w:t xml:space="preserve"> </w:t>
      </w:r>
      <w:r>
        <w:rPr>
          <w:rFonts w:hint="eastAsia" w:ascii="仿宋_GB2312" w:eastAsia="仿宋_GB2312"/>
          <w:sz w:val="32"/>
          <w:szCs w:val="32"/>
          <w:highlight w:val="none"/>
        </w:rPr>
        <w:t>项目的立项评审工作由教务处负责组织（大学生创新创业训练计划项目由所在学院负责组织，按照各学院分配的限额向教务处推荐申报）。教务处对各部门报送的项目申报材料进行初步形式审查，并组织专家对符合要求的申报项目进行立项评审。</w:t>
      </w:r>
    </w:p>
    <w:p w14:paraId="74B4CB69">
      <w:pPr>
        <w:spacing w:line="600" w:lineRule="exact"/>
        <w:ind w:firstLine="630" w:firstLineChars="196"/>
        <w:rPr>
          <w:rFonts w:ascii="仿宋_GB2312" w:eastAsia="仿宋_GB2312"/>
          <w:sz w:val="32"/>
          <w:szCs w:val="32"/>
          <w:highlight w:val="none"/>
        </w:rPr>
      </w:pPr>
      <w:r>
        <w:rPr>
          <w:rFonts w:hint="eastAsia" w:ascii="仿宋_GB2312" w:eastAsia="仿宋_GB2312"/>
          <w:b/>
          <w:sz w:val="32"/>
          <w:szCs w:val="32"/>
          <w:highlight w:val="none"/>
        </w:rPr>
        <w:t xml:space="preserve">第十一条  </w:t>
      </w:r>
      <w:r>
        <w:rPr>
          <w:rFonts w:hint="eastAsia" w:ascii="仿宋_GB2312" w:eastAsia="仿宋_GB2312"/>
          <w:sz w:val="32"/>
          <w:szCs w:val="32"/>
          <w:highlight w:val="none"/>
        </w:rPr>
        <w:t>专家评审方式，集体项目采取会议评审，个人项目采取通讯评审。专家组成员根据各项目的评审指标，对照《项目申报书》进行评审打分，给出评审意见和结论。</w:t>
      </w:r>
    </w:p>
    <w:p w14:paraId="75E8A92B">
      <w:pPr>
        <w:spacing w:line="600" w:lineRule="exact"/>
        <w:ind w:firstLine="630" w:firstLineChars="196"/>
        <w:rPr>
          <w:rFonts w:ascii="仿宋_GB2312" w:eastAsia="仿宋_GB2312"/>
          <w:sz w:val="32"/>
          <w:szCs w:val="32"/>
          <w:highlight w:val="none"/>
        </w:rPr>
      </w:pPr>
      <w:r>
        <w:rPr>
          <w:rFonts w:hint="eastAsia" w:ascii="仿宋_GB2312" w:eastAsia="仿宋_GB2312"/>
          <w:b/>
          <w:sz w:val="32"/>
          <w:szCs w:val="32"/>
          <w:highlight w:val="none"/>
        </w:rPr>
        <w:t xml:space="preserve">第十二条 </w:t>
      </w:r>
      <w:r>
        <w:rPr>
          <w:rFonts w:ascii="仿宋_GB2312" w:eastAsia="仿宋_GB2312"/>
          <w:b/>
          <w:sz w:val="32"/>
          <w:szCs w:val="32"/>
          <w:highlight w:val="none"/>
        </w:rPr>
        <w:t xml:space="preserve"> </w:t>
      </w:r>
      <w:r>
        <w:rPr>
          <w:rFonts w:hint="eastAsia" w:ascii="仿宋_GB2312" w:eastAsia="仿宋_GB2312"/>
          <w:sz w:val="32"/>
          <w:szCs w:val="32"/>
          <w:highlight w:val="none"/>
        </w:rPr>
        <w:t>教务处根据专家组评审结果，拟定立项方案，报主管院长审批，由学校研究讨论，确定拟立项名单。</w:t>
      </w:r>
    </w:p>
    <w:p w14:paraId="1BC5B0E6">
      <w:pPr>
        <w:spacing w:line="600" w:lineRule="exact"/>
        <w:ind w:firstLine="630" w:firstLineChars="196"/>
        <w:rPr>
          <w:rFonts w:ascii="仿宋_GB2312" w:eastAsia="仿宋_GB2312"/>
          <w:sz w:val="32"/>
          <w:szCs w:val="32"/>
          <w:highlight w:val="none"/>
        </w:rPr>
      </w:pPr>
      <w:r>
        <w:rPr>
          <w:rFonts w:hint="eastAsia" w:ascii="仿宋_GB2312" w:eastAsia="仿宋_GB2312"/>
          <w:b/>
          <w:sz w:val="32"/>
          <w:szCs w:val="32"/>
          <w:highlight w:val="none"/>
        </w:rPr>
        <w:t xml:space="preserve">第十三条 </w:t>
      </w:r>
      <w:r>
        <w:rPr>
          <w:rFonts w:ascii="仿宋_GB2312" w:eastAsia="仿宋_GB2312"/>
          <w:b/>
          <w:sz w:val="32"/>
          <w:szCs w:val="32"/>
          <w:highlight w:val="none"/>
        </w:rPr>
        <w:t xml:space="preserve"> </w:t>
      </w:r>
      <w:r>
        <w:rPr>
          <w:rFonts w:hint="eastAsia" w:ascii="仿宋_GB2312" w:eastAsia="仿宋_GB2312"/>
          <w:sz w:val="32"/>
          <w:szCs w:val="32"/>
          <w:highlight w:val="none"/>
        </w:rPr>
        <w:t>拟立项名单在全校公示5天，由学校正式发文公布立项结果，公布的时间为每年5月底前。如公示期间有申诉意见，交学校教学指导委员会集体讨论决定。</w:t>
      </w:r>
    </w:p>
    <w:p w14:paraId="129D666F">
      <w:pPr>
        <w:spacing w:line="600" w:lineRule="exact"/>
        <w:ind w:firstLine="630" w:firstLineChars="196"/>
        <w:rPr>
          <w:rFonts w:ascii="仿宋_GB2312" w:eastAsia="仿宋_GB2312"/>
          <w:sz w:val="32"/>
          <w:szCs w:val="32"/>
          <w:highlight w:val="none"/>
        </w:rPr>
      </w:pPr>
      <w:r>
        <w:rPr>
          <w:rFonts w:hint="eastAsia" w:ascii="仿宋_GB2312" w:eastAsia="仿宋_GB2312"/>
          <w:b/>
          <w:sz w:val="32"/>
          <w:szCs w:val="32"/>
          <w:highlight w:val="none"/>
        </w:rPr>
        <w:t xml:space="preserve">第十四条 </w:t>
      </w:r>
      <w:r>
        <w:rPr>
          <w:rFonts w:ascii="仿宋_GB2312" w:eastAsia="仿宋_GB2312"/>
          <w:b/>
          <w:sz w:val="32"/>
          <w:szCs w:val="32"/>
          <w:highlight w:val="none"/>
        </w:rPr>
        <w:t xml:space="preserve"> </w:t>
      </w:r>
      <w:r>
        <w:rPr>
          <w:rFonts w:hint="eastAsia" w:ascii="仿宋_GB2312" w:eastAsia="仿宋_GB2312"/>
          <w:sz w:val="32"/>
          <w:szCs w:val="32"/>
          <w:highlight w:val="none"/>
        </w:rPr>
        <w:t>未获立项的项目，由专家评审确定是否进入学校项目储备库。</w:t>
      </w:r>
    </w:p>
    <w:p w14:paraId="0A0FA2C8">
      <w:pPr>
        <w:spacing w:line="600" w:lineRule="exact"/>
        <w:ind w:firstLine="200"/>
        <w:jc w:val="center"/>
        <w:rPr>
          <w:rFonts w:ascii="黑体" w:hAnsi="黑体" w:eastAsia="黑体"/>
          <w:b/>
          <w:bCs/>
          <w:sz w:val="32"/>
          <w:szCs w:val="32"/>
          <w:highlight w:val="none"/>
        </w:rPr>
      </w:pPr>
      <w:r>
        <w:rPr>
          <w:rFonts w:hint="eastAsia" w:ascii="黑体" w:hAnsi="黑体" w:eastAsia="黑体"/>
          <w:b/>
          <w:bCs/>
          <w:sz w:val="32"/>
          <w:szCs w:val="32"/>
          <w:highlight w:val="none"/>
        </w:rPr>
        <w:t>第二章 项目开题、中期检查与监督管理</w:t>
      </w:r>
    </w:p>
    <w:p w14:paraId="4C1C7C20">
      <w:pPr>
        <w:spacing w:line="600" w:lineRule="exact"/>
        <w:ind w:firstLine="643" w:firstLineChars="200"/>
        <w:rPr>
          <w:rFonts w:ascii="仿宋_GB2312" w:eastAsia="仿宋_GB2312"/>
          <w:sz w:val="32"/>
          <w:szCs w:val="32"/>
          <w:highlight w:val="none"/>
        </w:rPr>
      </w:pPr>
      <w:r>
        <w:rPr>
          <w:rFonts w:hint="eastAsia" w:ascii="仿宋_GB2312" w:eastAsia="仿宋_GB2312"/>
          <w:b/>
          <w:sz w:val="32"/>
          <w:szCs w:val="32"/>
          <w:highlight w:val="none"/>
        </w:rPr>
        <w:t xml:space="preserve">第十五条 </w:t>
      </w:r>
      <w:r>
        <w:rPr>
          <w:rFonts w:ascii="仿宋_GB2312" w:eastAsia="仿宋_GB2312"/>
          <w:b/>
          <w:sz w:val="32"/>
          <w:szCs w:val="32"/>
          <w:highlight w:val="none"/>
        </w:rPr>
        <w:t xml:space="preserve"> </w:t>
      </w:r>
      <w:r>
        <w:rPr>
          <w:rFonts w:hint="eastAsia" w:ascii="仿宋_GB2312" w:eastAsia="仿宋_GB2312"/>
          <w:sz w:val="32"/>
          <w:szCs w:val="32"/>
          <w:highlight w:val="none"/>
        </w:rPr>
        <w:t>学校立项文件正式发布后，项目负责人与教务处签订《项目建设任务书》（双面打印一式三份，项目负责人、教务处和所在部门各1份）和《学校资助项目经费使用协议书》（双面打印一式四份，项目负责人、教务处、财务处和所在部门各1份）。</w:t>
      </w:r>
    </w:p>
    <w:p w14:paraId="0877C695">
      <w:pPr>
        <w:spacing w:line="600" w:lineRule="exact"/>
        <w:ind w:firstLine="643" w:firstLineChars="200"/>
        <w:rPr>
          <w:rFonts w:ascii="仿宋_GB2312" w:eastAsia="仿宋_GB2312"/>
          <w:sz w:val="32"/>
          <w:szCs w:val="32"/>
          <w:highlight w:val="none"/>
        </w:rPr>
      </w:pPr>
      <w:r>
        <w:rPr>
          <w:rFonts w:hint="eastAsia" w:ascii="仿宋_GB2312" w:eastAsia="仿宋_GB2312"/>
          <w:b/>
          <w:sz w:val="32"/>
          <w:szCs w:val="32"/>
          <w:highlight w:val="none"/>
        </w:rPr>
        <w:t xml:space="preserve">第十六条 </w:t>
      </w:r>
      <w:r>
        <w:rPr>
          <w:rFonts w:hint="eastAsia" w:ascii="仿宋_GB2312" w:eastAsia="仿宋_GB2312"/>
          <w:sz w:val="32"/>
          <w:szCs w:val="32"/>
          <w:highlight w:val="none"/>
        </w:rPr>
        <w:t xml:space="preserve"> 校级项目的开题工作应在6月底前完成。项目负责人组织召开开题工作会议，制定具体的工作方案，落实项目组成员分工，填写《项目开题报告书》。《项目开题报告书》（双面打印1份）报送教务处备案。</w:t>
      </w:r>
    </w:p>
    <w:p w14:paraId="5414C8D2">
      <w:pPr>
        <w:tabs>
          <w:tab w:val="left" w:pos="540"/>
        </w:tabs>
        <w:spacing w:line="600" w:lineRule="exact"/>
        <w:ind w:firstLine="630" w:firstLineChars="196"/>
        <w:rPr>
          <w:rFonts w:ascii="仿宋_GB2312" w:eastAsia="仿宋_GB2312"/>
          <w:sz w:val="32"/>
          <w:szCs w:val="32"/>
          <w:highlight w:val="none"/>
        </w:rPr>
      </w:pPr>
      <w:r>
        <w:rPr>
          <w:rFonts w:hint="eastAsia" w:ascii="仿宋_GB2312" w:eastAsia="仿宋_GB2312"/>
          <w:b/>
          <w:sz w:val="32"/>
          <w:szCs w:val="32"/>
          <w:highlight w:val="none"/>
        </w:rPr>
        <w:t>第十七条</w:t>
      </w:r>
      <w:r>
        <w:rPr>
          <w:rFonts w:hint="eastAsia" w:ascii="仿宋_GB2312" w:eastAsia="仿宋_GB2312"/>
          <w:sz w:val="32"/>
          <w:szCs w:val="32"/>
          <w:highlight w:val="none"/>
        </w:rPr>
        <w:t xml:space="preserve"> </w:t>
      </w:r>
      <w:r>
        <w:rPr>
          <w:rFonts w:ascii="仿宋_GB2312" w:eastAsia="仿宋_GB2312"/>
          <w:sz w:val="32"/>
          <w:szCs w:val="32"/>
          <w:highlight w:val="none"/>
        </w:rPr>
        <w:t xml:space="preserve"> </w:t>
      </w:r>
      <w:r>
        <w:rPr>
          <w:rFonts w:hint="eastAsia" w:ascii="仿宋_GB2312" w:eastAsia="仿宋_GB2312"/>
          <w:sz w:val="32"/>
          <w:szCs w:val="32"/>
          <w:highlight w:val="none"/>
        </w:rPr>
        <w:t>学校每年7月组织校级项目中期检查。学校集体项目由教务处负责组织检查，学院集体项目和个人项目由所在学院负责组织检查，中期检查工作完成时间为9月中旬前。《中期检查报告》（纸质版和电子版各1份）报送教务处存档备案。</w:t>
      </w:r>
    </w:p>
    <w:p w14:paraId="112EC44B">
      <w:pPr>
        <w:tabs>
          <w:tab w:val="left" w:pos="540"/>
        </w:tabs>
        <w:spacing w:line="600" w:lineRule="exact"/>
        <w:ind w:firstLine="643" w:firstLineChars="200"/>
        <w:rPr>
          <w:rFonts w:ascii="仿宋_GB2312" w:eastAsia="仿宋_GB2312"/>
          <w:sz w:val="32"/>
          <w:szCs w:val="32"/>
          <w:highlight w:val="none"/>
        </w:rPr>
      </w:pPr>
      <w:r>
        <w:rPr>
          <w:rFonts w:hint="eastAsia" w:ascii="仿宋_GB2312" w:eastAsia="仿宋_GB2312"/>
          <w:b/>
          <w:sz w:val="32"/>
          <w:szCs w:val="32"/>
          <w:highlight w:val="none"/>
        </w:rPr>
        <w:t xml:space="preserve">第十八条 </w:t>
      </w:r>
      <w:r>
        <w:rPr>
          <w:rFonts w:ascii="仿宋_GB2312" w:eastAsia="仿宋_GB2312"/>
          <w:b/>
          <w:sz w:val="32"/>
          <w:szCs w:val="32"/>
          <w:highlight w:val="none"/>
        </w:rPr>
        <w:t xml:space="preserve"> </w:t>
      </w:r>
      <w:r>
        <w:rPr>
          <w:rFonts w:hint="eastAsia" w:ascii="仿宋_GB2312" w:eastAsia="仿宋_GB2312"/>
          <w:bCs/>
          <w:sz w:val="32"/>
          <w:szCs w:val="32"/>
          <w:highlight w:val="none"/>
        </w:rPr>
        <w:t>在中期检查中，达到中期目标的，检查结论为“通过”。</w:t>
      </w:r>
      <w:r>
        <w:rPr>
          <w:rFonts w:hint="eastAsia" w:ascii="仿宋_GB2312" w:eastAsia="仿宋_GB2312"/>
          <w:sz w:val="32"/>
          <w:szCs w:val="32"/>
          <w:highlight w:val="none"/>
        </w:rPr>
        <w:t>项目建设存在一定问题但仍有可能按期结题的，检查结论为“限期整改”，项目组应根据整改意见在3个月内完成整改，并向教务处提交整改报告。项目建设未能按计划进行，并基本不可能达到结题要求的，</w:t>
      </w:r>
      <w:r>
        <w:rPr>
          <w:rFonts w:hint="eastAsia" w:ascii="仿宋_GB2312" w:eastAsia="仿宋_GB2312"/>
          <w:bCs/>
          <w:sz w:val="32"/>
          <w:szCs w:val="32"/>
          <w:highlight w:val="none"/>
        </w:rPr>
        <w:t>检查结论为</w:t>
      </w:r>
      <w:r>
        <w:rPr>
          <w:rFonts w:hint="eastAsia" w:ascii="仿宋_GB2312" w:eastAsia="仿宋_GB2312"/>
          <w:sz w:val="32"/>
          <w:szCs w:val="32"/>
          <w:highlight w:val="none"/>
        </w:rPr>
        <w:t>“终止项目”。</w:t>
      </w:r>
    </w:p>
    <w:p w14:paraId="1770C7ED">
      <w:pPr>
        <w:tabs>
          <w:tab w:val="left" w:pos="540"/>
        </w:tabs>
        <w:spacing w:line="600" w:lineRule="exact"/>
        <w:ind w:firstLine="643" w:firstLineChars="200"/>
        <w:rPr>
          <w:rFonts w:ascii="仿宋_GB2312" w:eastAsia="仿宋_GB2312"/>
          <w:sz w:val="32"/>
          <w:szCs w:val="32"/>
          <w:highlight w:val="none"/>
        </w:rPr>
      </w:pPr>
      <w:r>
        <w:rPr>
          <w:rFonts w:hint="eastAsia" w:ascii="仿宋_GB2312" w:eastAsia="仿宋_GB2312"/>
          <w:b/>
          <w:sz w:val="32"/>
          <w:szCs w:val="32"/>
          <w:highlight w:val="none"/>
        </w:rPr>
        <w:t xml:space="preserve">第十九条  </w:t>
      </w:r>
      <w:r>
        <w:rPr>
          <w:rFonts w:hint="eastAsia" w:ascii="仿宋_GB2312" w:eastAsia="仿宋_GB2312"/>
          <w:sz w:val="32"/>
          <w:szCs w:val="32"/>
          <w:highlight w:val="none"/>
        </w:rPr>
        <w:t>校级项目在建设过程中随时接受所在部门以及上级部门的监督和检查，项目负责人及成员有义务配合相关检查工作。项目建设过程中如需要调整建设内容、建设周期、项目负责人或项目预期成果的，须以书面形式向学校提出申请，经学校批准通过后报教务处存档备案。</w:t>
      </w:r>
    </w:p>
    <w:p w14:paraId="66381B0D">
      <w:pPr>
        <w:spacing w:line="600" w:lineRule="exact"/>
        <w:jc w:val="center"/>
        <w:rPr>
          <w:rFonts w:ascii="黑体" w:hAnsi="黑体" w:eastAsia="黑体"/>
          <w:b/>
          <w:bCs/>
          <w:sz w:val="32"/>
          <w:szCs w:val="32"/>
          <w:highlight w:val="none"/>
        </w:rPr>
      </w:pPr>
      <w:r>
        <w:rPr>
          <w:rFonts w:hint="eastAsia" w:ascii="黑体" w:hAnsi="黑体" w:eastAsia="黑体"/>
          <w:b/>
          <w:bCs/>
          <w:sz w:val="32"/>
          <w:szCs w:val="32"/>
          <w:highlight w:val="none"/>
        </w:rPr>
        <w:t>第三章 项目结题验收</w:t>
      </w:r>
    </w:p>
    <w:p w14:paraId="37A7F0CC">
      <w:pPr>
        <w:tabs>
          <w:tab w:val="left" w:pos="360"/>
        </w:tabs>
        <w:spacing w:line="600" w:lineRule="exact"/>
        <w:ind w:firstLine="643" w:firstLineChars="200"/>
        <w:rPr>
          <w:rFonts w:ascii="仿宋_GB2312" w:eastAsia="仿宋_GB2312"/>
          <w:sz w:val="32"/>
          <w:szCs w:val="32"/>
          <w:highlight w:val="none"/>
        </w:rPr>
      </w:pPr>
      <w:r>
        <w:rPr>
          <w:rFonts w:hint="eastAsia" w:ascii="仿宋_GB2312" w:eastAsia="仿宋_GB2312"/>
          <w:b/>
          <w:sz w:val="32"/>
          <w:szCs w:val="32"/>
          <w:highlight w:val="none"/>
        </w:rPr>
        <w:t xml:space="preserve">第二十条  </w:t>
      </w:r>
      <w:r>
        <w:rPr>
          <w:rFonts w:hint="eastAsia" w:ascii="仿宋_GB2312" w:eastAsia="仿宋_GB2312"/>
          <w:sz w:val="32"/>
          <w:szCs w:val="32"/>
          <w:highlight w:val="none"/>
        </w:rPr>
        <w:t>项目建设期满，项目负责人组织项目组成员对项目的研究工作进行总结，填写《项目结题验收报告》，整理项目的建设成果等佐证材料</w:t>
      </w:r>
      <w:r>
        <w:rPr>
          <w:rFonts w:hint="eastAsia" w:ascii="仿宋_GB2312" w:eastAsia="仿宋_GB2312"/>
          <w:color w:val="auto"/>
          <w:sz w:val="32"/>
          <w:szCs w:val="32"/>
          <w:highlight w:val="none"/>
        </w:rPr>
        <w:t>（项目成果中若有公开发表论文，须先在学校的学刊发表至少1篇），</w:t>
      </w:r>
      <w:r>
        <w:rPr>
          <w:rFonts w:hint="eastAsia" w:ascii="仿宋_GB2312" w:eastAsia="仿宋_GB2312"/>
          <w:sz w:val="32"/>
          <w:szCs w:val="32"/>
          <w:highlight w:val="none"/>
        </w:rPr>
        <w:t>经部门审核后，将相关结题材料（纸质版和电子版各1份）统一报送至教务处，申请结题验收。</w:t>
      </w:r>
      <w:r>
        <w:rPr>
          <w:rFonts w:hint="eastAsia" w:ascii="仿宋_GB2312" w:hAnsi="宋体" w:eastAsia="仿宋_GB2312"/>
          <w:sz w:val="32"/>
          <w:szCs w:val="32"/>
          <w:highlight w:val="none"/>
        </w:rPr>
        <w:t>项目申请结题验收时间为项目建设期满后15日内。项目负责人</w:t>
      </w:r>
      <w:r>
        <w:rPr>
          <w:rFonts w:hint="eastAsia" w:ascii="仿宋_GB2312" w:eastAsia="仿宋_GB2312"/>
          <w:sz w:val="32"/>
          <w:szCs w:val="32"/>
          <w:highlight w:val="none"/>
        </w:rPr>
        <w:t>未能按时申请结题和提交结题材料，须书面形式向学校说明原因，学校视情况给予“暂缓通过”或“不通过”的结果。</w:t>
      </w:r>
    </w:p>
    <w:p w14:paraId="160F2A7B">
      <w:pPr>
        <w:tabs>
          <w:tab w:val="left" w:pos="360"/>
        </w:tabs>
        <w:spacing w:line="600" w:lineRule="exact"/>
        <w:ind w:firstLine="643" w:firstLineChars="200"/>
        <w:rPr>
          <w:rFonts w:ascii="仿宋_GB2312" w:eastAsia="仿宋_GB2312"/>
          <w:sz w:val="32"/>
          <w:szCs w:val="32"/>
          <w:highlight w:val="none"/>
        </w:rPr>
      </w:pPr>
      <w:r>
        <w:rPr>
          <w:rFonts w:hint="eastAsia" w:ascii="仿宋_GB2312" w:eastAsia="仿宋_GB2312"/>
          <w:b/>
          <w:sz w:val="32"/>
          <w:szCs w:val="32"/>
          <w:highlight w:val="none"/>
        </w:rPr>
        <w:t xml:space="preserve">第二十一条 </w:t>
      </w:r>
      <w:r>
        <w:rPr>
          <w:rFonts w:ascii="仿宋_GB2312" w:eastAsia="仿宋_GB2312"/>
          <w:b/>
          <w:sz w:val="32"/>
          <w:szCs w:val="32"/>
          <w:highlight w:val="none"/>
        </w:rPr>
        <w:t xml:space="preserve"> </w:t>
      </w:r>
      <w:r>
        <w:rPr>
          <w:rFonts w:hint="eastAsia" w:ascii="仿宋_GB2312" w:eastAsia="仿宋_GB2312"/>
          <w:sz w:val="32"/>
          <w:szCs w:val="32"/>
          <w:highlight w:val="none"/>
        </w:rPr>
        <w:t>教务处对项目结题材料进行初审，并组织专家对符合要求的项目进行结题验收评审。集体项目采取会议评审，个人项目采取通讯评审。验收结果为：通过、暂缓通过、不通过。专家验收评审结果报主管校长审批，由学校研究决定最终结题验收结果。</w:t>
      </w:r>
    </w:p>
    <w:p w14:paraId="32015380">
      <w:pPr>
        <w:tabs>
          <w:tab w:val="left" w:pos="360"/>
        </w:tabs>
        <w:spacing w:line="600" w:lineRule="exact"/>
        <w:ind w:firstLine="643" w:firstLineChars="200"/>
        <w:rPr>
          <w:rFonts w:ascii="仿宋_GB2312" w:eastAsia="仿宋_GB2312"/>
          <w:sz w:val="32"/>
          <w:szCs w:val="32"/>
          <w:highlight w:val="none"/>
        </w:rPr>
      </w:pPr>
      <w:r>
        <w:rPr>
          <w:rFonts w:hint="eastAsia" w:ascii="仿宋_GB2312" w:eastAsia="仿宋_GB2312"/>
          <w:b/>
          <w:sz w:val="32"/>
          <w:szCs w:val="32"/>
          <w:highlight w:val="none"/>
        </w:rPr>
        <w:t xml:space="preserve">第二十二条  </w:t>
      </w:r>
      <w:r>
        <w:rPr>
          <w:rFonts w:hint="eastAsia" w:ascii="仿宋_GB2312" w:eastAsia="仿宋_GB2312"/>
          <w:sz w:val="32"/>
          <w:szCs w:val="32"/>
          <w:highlight w:val="none"/>
        </w:rPr>
        <w:t>暂缓通过的项目，在下一个年度的项目结题验收时间参与验收。两次结论为“暂缓通过”的项目按“不通过”处理。</w:t>
      </w:r>
    </w:p>
    <w:p w14:paraId="724FF1E5">
      <w:pPr>
        <w:spacing w:line="600" w:lineRule="exact"/>
        <w:jc w:val="center"/>
        <w:rPr>
          <w:rFonts w:ascii="黑体" w:hAnsi="黑体" w:eastAsia="黑体"/>
          <w:sz w:val="32"/>
          <w:szCs w:val="32"/>
          <w:highlight w:val="none"/>
        </w:rPr>
      </w:pPr>
      <w:r>
        <w:rPr>
          <w:rFonts w:hint="eastAsia" w:ascii="黑体" w:hAnsi="黑体" w:eastAsia="黑体"/>
          <w:b/>
          <w:bCs/>
          <w:sz w:val="32"/>
          <w:szCs w:val="32"/>
          <w:highlight w:val="none"/>
        </w:rPr>
        <w:t>第四章 项目经费管理</w:t>
      </w:r>
    </w:p>
    <w:p w14:paraId="142C93E5">
      <w:pPr>
        <w:spacing w:line="600" w:lineRule="exact"/>
        <w:ind w:firstLine="643" w:firstLineChars="200"/>
        <w:rPr>
          <w:rFonts w:ascii="仿宋_GB2312" w:eastAsia="仿宋_GB2312"/>
          <w:sz w:val="32"/>
          <w:szCs w:val="32"/>
          <w:highlight w:val="none"/>
        </w:rPr>
      </w:pPr>
      <w:r>
        <w:rPr>
          <w:rFonts w:hint="eastAsia" w:ascii="仿宋_GB2312" w:eastAsia="仿宋_GB2312"/>
          <w:b/>
          <w:sz w:val="32"/>
          <w:szCs w:val="32"/>
          <w:highlight w:val="none"/>
        </w:rPr>
        <w:t xml:space="preserve">第二十三条 </w:t>
      </w:r>
      <w:r>
        <w:rPr>
          <w:rFonts w:ascii="仿宋_GB2312" w:eastAsia="仿宋_GB2312"/>
          <w:b/>
          <w:sz w:val="32"/>
          <w:szCs w:val="32"/>
          <w:highlight w:val="none"/>
        </w:rPr>
        <w:t xml:space="preserve"> </w:t>
      </w:r>
      <w:r>
        <w:rPr>
          <w:rFonts w:hint="eastAsia" w:ascii="仿宋_GB2312" w:eastAsia="仿宋_GB2312"/>
          <w:sz w:val="32"/>
          <w:szCs w:val="32"/>
          <w:highlight w:val="none"/>
        </w:rPr>
        <w:t>项目经费从学校质量工程专项经费支出，采取分期分批拨付，初次下达项目经费的50%，通过中期检查后，下达项目经费剩余的50%。项目经费使用按照签订的《学校资助项目经费使用协议书》的规定，如实、及时报销。按照学校财务制度的要求，当年产生费用的发票务必当年报销。</w:t>
      </w:r>
    </w:p>
    <w:p w14:paraId="57D0B5D9">
      <w:pPr>
        <w:widowControl/>
        <w:adjustRightInd w:val="0"/>
        <w:snapToGrid w:val="0"/>
        <w:spacing w:line="600" w:lineRule="exact"/>
        <w:ind w:firstLine="643" w:firstLineChars="200"/>
        <w:rPr>
          <w:rFonts w:ascii="仿宋_GB2312" w:eastAsia="仿宋_GB2312"/>
          <w:color w:val="auto"/>
          <w:sz w:val="32"/>
          <w:szCs w:val="32"/>
          <w:highlight w:val="none"/>
        </w:rPr>
      </w:pPr>
      <w:r>
        <w:rPr>
          <w:rFonts w:hint="eastAsia" w:ascii="仿宋_GB2312" w:eastAsia="仿宋_GB2312"/>
          <w:b/>
          <w:color w:val="auto"/>
          <w:sz w:val="32"/>
          <w:szCs w:val="32"/>
          <w:highlight w:val="none"/>
        </w:rPr>
        <w:t>第二十四条</w:t>
      </w:r>
      <w:r>
        <w:rPr>
          <w:rFonts w:hint="eastAsia" w:ascii="仿宋_GB2312" w:eastAsia="仿宋_GB2312"/>
          <w:color w:val="auto"/>
          <w:sz w:val="32"/>
          <w:szCs w:val="32"/>
          <w:highlight w:val="none"/>
        </w:rPr>
        <w:t xml:space="preserve"> </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项目经费的开支范围有：（1）调研差旅费（不超过总经费的40%），包括调研费、会务费、交通费等；（2）仪器及资料费，包括教学仪器、设备、材料、图书资料、教学软件等购置费；（3）出版印刷费，包括教材建设与出版费、教学改革与研究及论文版面费等；（4）其他费用，包括课程网站建设费用、课程录像、试题库等项目建设费用、专家咨询费及信息检索费等。</w:t>
      </w:r>
    </w:p>
    <w:p w14:paraId="20CFC1BE">
      <w:pPr>
        <w:spacing w:line="600" w:lineRule="exact"/>
        <w:ind w:firstLine="643" w:firstLineChars="200"/>
        <w:rPr>
          <w:rFonts w:ascii="仿宋_GB2312" w:eastAsia="仿宋_GB2312"/>
          <w:color w:val="auto"/>
          <w:sz w:val="32"/>
          <w:szCs w:val="32"/>
          <w:highlight w:val="none"/>
        </w:rPr>
      </w:pPr>
      <w:r>
        <w:rPr>
          <w:rFonts w:hint="eastAsia" w:ascii="仿宋_GB2312" w:eastAsia="仿宋_GB2312"/>
          <w:b/>
          <w:color w:val="auto"/>
          <w:sz w:val="32"/>
          <w:szCs w:val="32"/>
          <w:highlight w:val="none"/>
        </w:rPr>
        <w:t xml:space="preserve">第二十五条 </w:t>
      </w:r>
      <w:r>
        <w:rPr>
          <w:rFonts w:hint="eastAsia" w:ascii="仿宋_GB2312" w:eastAsia="仿宋_GB2312"/>
          <w:color w:val="auto"/>
          <w:sz w:val="32"/>
          <w:szCs w:val="32"/>
          <w:highlight w:val="none"/>
        </w:rPr>
        <w:t xml:space="preserve"> 项目经费报销时，经办人须填写《报销汇总单》，在《单据张贴单》上张贴相关的票据、佐证材料和费用使用说明，票据需本人签名。非项目负责人报销的，需项目负责人在《报销汇总单》空白处签名。每笔费用报销时，项目负责人在《经费使用本》上登记经费的支出情况，交教务处审核。</w:t>
      </w:r>
    </w:p>
    <w:p w14:paraId="2F63140E">
      <w:pPr>
        <w:spacing w:line="600" w:lineRule="exact"/>
        <w:ind w:firstLine="624" w:firstLineChars="195"/>
        <w:rPr>
          <w:rFonts w:ascii="仿宋_GB2312" w:eastAsia="仿宋_GB2312"/>
          <w:color w:val="auto"/>
          <w:sz w:val="32"/>
          <w:szCs w:val="32"/>
          <w:highlight w:val="none"/>
        </w:rPr>
      </w:pPr>
      <w:r>
        <w:rPr>
          <w:rFonts w:hint="eastAsia" w:ascii="仿宋_GB2312" w:eastAsia="仿宋_GB2312"/>
          <w:color w:val="auto"/>
          <w:sz w:val="32"/>
          <w:szCs w:val="32"/>
          <w:highlight w:val="none"/>
        </w:rPr>
        <w:t>项目经费的报销流程：经办人填单→项目负责人、部门主任签名→教务处登记备案、教务处处长审核→财务处审核发票→主管院长审批→财务做单→经办人领取经费。</w:t>
      </w:r>
    </w:p>
    <w:p w14:paraId="5C8763BC">
      <w:pPr>
        <w:spacing w:line="600" w:lineRule="exact"/>
        <w:ind w:firstLine="200"/>
        <w:jc w:val="center"/>
        <w:rPr>
          <w:rFonts w:ascii="黑体" w:hAnsi="黑体" w:eastAsia="黑体"/>
          <w:sz w:val="32"/>
          <w:szCs w:val="32"/>
          <w:highlight w:val="none"/>
        </w:rPr>
      </w:pPr>
      <w:r>
        <w:rPr>
          <w:rFonts w:hint="eastAsia" w:ascii="黑体" w:hAnsi="黑体" w:eastAsia="黑体"/>
          <w:sz w:val="32"/>
          <w:szCs w:val="32"/>
          <w:highlight w:val="none"/>
        </w:rPr>
        <w:t>第三部分 国家级、省级项目</w:t>
      </w:r>
    </w:p>
    <w:p w14:paraId="6ADC5F87">
      <w:pPr>
        <w:tabs>
          <w:tab w:val="left" w:pos="1260"/>
        </w:tabs>
        <w:spacing w:line="600" w:lineRule="exact"/>
        <w:ind w:firstLine="643" w:firstLineChars="200"/>
        <w:rPr>
          <w:rFonts w:ascii="仿宋_GB2312" w:eastAsia="仿宋_GB2312"/>
          <w:sz w:val="32"/>
          <w:szCs w:val="32"/>
          <w:highlight w:val="none"/>
        </w:rPr>
      </w:pPr>
      <w:r>
        <w:rPr>
          <w:rFonts w:hint="eastAsia" w:ascii="仿宋_GB2312" w:eastAsia="仿宋_GB2312"/>
          <w:b/>
          <w:sz w:val="32"/>
          <w:szCs w:val="32"/>
          <w:highlight w:val="none"/>
        </w:rPr>
        <w:t xml:space="preserve">第二十六条 </w:t>
      </w:r>
      <w:r>
        <w:rPr>
          <w:rFonts w:hint="eastAsia" w:ascii="仿宋_GB2312" w:eastAsia="仿宋_GB2312"/>
          <w:sz w:val="32"/>
          <w:szCs w:val="32"/>
          <w:highlight w:val="none"/>
        </w:rPr>
        <w:t xml:space="preserve"> 国家级、省级项目的申报为限额推荐。学校根据教育部和省教育厅分配的实际限额数从校级项目中择优组织申报。若推荐申报的项目未校内立项，则教务处组织开展相关申报工作，聘请专家进行评审，选出优秀项目推荐申报。</w:t>
      </w:r>
    </w:p>
    <w:p w14:paraId="6D08A78B">
      <w:pPr>
        <w:spacing w:line="600" w:lineRule="exact"/>
        <w:ind w:firstLine="643" w:firstLineChars="200"/>
        <w:jc w:val="left"/>
        <w:rPr>
          <w:rFonts w:ascii="仿宋_GB2312" w:eastAsia="仿宋_GB2312"/>
          <w:sz w:val="32"/>
          <w:szCs w:val="32"/>
          <w:highlight w:val="none"/>
        </w:rPr>
      </w:pPr>
      <w:r>
        <w:rPr>
          <w:rFonts w:hint="eastAsia" w:ascii="仿宋_GB2312" w:eastAsia="仿宋_GB2312"/>
          <w:b/>
          <w:sz w:val="32"/>
          <w:szCs w:val="32"/>
          <w:highlight w:val="none"/>
        </w:rPr>
        <w:t xml:space="preserve">第二十七条  </w:t>
      </w:r>
      <w:r>
        <w:rPr>
          <w:rFonts w:hint="eastAsia" w:ascii="仿宋_GB2312" w:eastAsia="仿宋_GB2312"/>
          <w:sz w:val="32"/>
          <w:szCs w:val="32"/>
          <w:highlight w:val="none"/>
        </w:rPr>
        <w:t>获国家级、省级</w:t>
      </w:r>
      <w:r>
        <w:rPr>
          <w:rFonts w:hint="eastAsia" w:ascii="仿宋_GB2312" w:hAnsi="宋体" w:eastAsia="仿宋_GB2312"/>
          <w:sz w:val="32"/>
          <w:szCs w:val="32"/>
          <w:highlight w:val="none"/>
        </w:rPr>
        <w:t>批准立项的项目按照公布立项通知文件的要求，完成项目开题论证工作。开题论证的内容包括项目建设目标、建设举措、预期成果、建设进度安排、经费使用安排等。最终结题验收，以论证后的建设目标和建设任务为依据</w:t>
      </w:r>
      <w:r>
        <w:rPr>
          <w:rFonts w:hint="eastAsia" w:ascii="仿宋_GB2312" w:eastAsia="仿宋_GB2312"/>
          <w:sz w:val="32"/>
          <w:szCs w:val="32"/>
          <w:highlight w:val="none"/>
        </w:rPr>
        <w:t>。</w:t>
      </w:r>
    </w:p>
    <w:p w14:paraId="5E4ED008">
      <w:pPr>
        <w:spacing w:line="600" w:lineRule="exact"/>
        <w:ind w:firstLine="643" w:firstLineChars="200"/>
        <w:jc w:val="left"/>
        <w:rPr>
          <w:rFonts w:ascii="仿宋_GB2312" w:eastAsia="仿宋_GB2312"/>
          <w:sz w:val="32"/>
          <w:szCs w:val="32"/>
          <w:highlight w:val="none"/>
        </w:rPr>
      </w:pPr>
      <w:r>
        <w:rPr>
          <w:rFonts w:hint="eastAsia" w:ascii="仿宋_GB2312" w:hAnsi="宋体" w:eastAsia="仿宋_GB2312"/>
          <w:b/>
          <w:sz w:val="32"/>
          <w:szCs w:val="32"/>
          <w:highlight w:val="none"/>
        </w:rPr>
        <w:t>第二十八条</w:t>
      </w:r>
      <w:r>
        <w:rPr>
          <w:rFonts w:hint="eastAsia" w:ascii="仿宋_GB2312" w:hAnsi="宋体" w:eastAsia="仿宋_GB2312"/>
          <w:sz w:val="32"/>
          <w:szCs w:val="32"/>
          <w:highlight w:val="none"/>
        </w:rPr>
        <w:t xml:space="preserve"> </w:t>
      </w:r>
      <w:r>
        <w:rPr>
          <w:rFonts w:ascii="仿宋_GB2312" w:hAnsi="宋体" w:eastAsia="仿宋_GB2312"/>
          <w:sz w:val="32"/>
          <w:szCs w:val="32"/>
          <w:highlight w:val="none"/>
        </w:rPr>
        <w:t xml:space="preserve"> </w:t>
      </w:r>
      <w:r>
        <w:rPr>
          <w:rFonts w:hint="eastAsia" w:ascii="仿宋_GB2312" w:hAnsi="宋体" w:eastAsia="仿宋_GB2312"/>
          <w:sz w:val="32"/>
          <w:szCs w:val="32"/>
          <w:highlight w:val="none"/>
        </w:rPr>
        <w:t>国家级、省级项目，如有财政资金专项资助或由学校专项资金予以资助的，须与教务处签订《项目经费使用协议书》</w:t>
      </w:r>
      <w:r>
        <w:rPr>
          <w:rFonts w:hint="eastAsia" w:ascii="仿宋_GB2312" w:eastAsia="仿宋_GB2312"/>
          <w:sz w:val="32"/>
          <w:szCs w:val="32"/>
          <w:highlight w:val="none"/>
        </w:rPr>
        <w:t>（双面打印一式四份，项目负责人、教务处、财务处和所在部门各1份）。</w:t>
      </w:r>
    </w:p>
    <w:p w14:paraId="59013C5F">
      <w:pPr>
        <w:spacing w:line="600" w:lineRule="exact"/>
        <w:ind w:firstLine="643" w:firstLineChars="200"/>
        <w:jc w:val="left"/>
        <w:rPr>
          <w:rFonts w:ascii="仿宋_GB2312" w:hAnsi="宋体" w:eastAsia="仿宋_GB2312"/>
          <w:sz w:val="32"/>
          <w:szCs w:val="32"/>
          <w:highlight w:val="none"/>
        </w:rPr>
      </w:pPr>
      <w:r>
        <w:rPr>
          <w:rFonts w:hint="eastAsia" w:ascii="仿宋_GB2312" w:hAnsi="宋体" w:eastAsia="仿宋_GB2312"/>
          <w:b/>
          <w:sz w:val="32"/>
          <w:szCs w:val="32"/>
          <w:highlight w:val="none"/>
        </w:rPr>
        <w:t xml:space="preserve">第二十九条  </w:t>
      </w:r>
      <w:r>
        <w:rPr>
          <w:rFonts w:hint="eastAsia" w:ascii="仿宋_GB2312" w:hAnsi="宋体" w:eastAsia="仿宋_GB2312"/>
          <w:sz w:val="32"/>
          <w:szCs w:val="32"/>
          <w:highlight w:val="none"/>
        </w:rPr>
        <w:t>国家级、省级项目的中期检查按照校级项目的规定执行。项目建设过程中，接受上级部门监督和检查。</w:t>
      </w:r>
    </w:p>
    <w:p w14:paraId="42FD44A8">
      <w:pPr>
        <w:spacing w:line="600" w:lineRule="exact"/>
        <w:ind w:firstLine="643" w:firstLineChars="200"/>
        <w:jc w:val="left"/>
        <w:rPr>
          <w:rFonts w:ascii="仿宋_GB2312" w:hAnsi="宋体" w:eastAsia="仿宋_GB2312"/>
          <w:sz w:val="32"/>
          <w:szCs w:val="32"/>
          <w:highlight w:val="none"/>
        </w:rPr>
      </w:pPr>
      <w:r>
        <w:rPr>
          <w:rFonts w:hint="eastAsia" w:ascii="仿宋_GB2312" w:hAnsi="宋体" w:eastAsia="仿宋_GB2312"/>
          <w:b/>
          <w:sz w:val="32"/>
          <w:szCs w:val="32"/>
          <w:highlight w:val="none"/>
        </w:rPr>
        <w:t xml:space="preserve">第三十条 </w:t>
      </w:r>
      <w:r>
        <w:rPr>
          <w:rFonts w:hint="eastAsia" w:ascii="仿宋_GB2312" w:hAnsi="宋体" w:eastAsia="仿宋_GB2312"/>
          <w:sz w:val="32"/>
          <w:szCs w:val="32"/>
          <w:highlight w:val="none"/>
        </w:rPr>
        <w:t xml:space="preserve"> 国家级、省级项目的结题验收需要先进行校内结题评审。校内结题评审时间为项目建设期满后15日内。</w:t>
      </w:r>
    </w:p>
    <w:p w14:paraId="648C34D6">
      <w:pPr>
        <w:spacing w:line="600" w:lineRule="exact"/>
        <w:ind w:firstLine="640" w:firstLineChars="200"/>
        <w:jc w:val="left"/>
        <w:rPr>
          <w:rFonts w:ascii="仿宋_GB2312" w:hAnsi="宋体" w:eastAsia="仿宋_GB2312"/>
          <w:sz w:val="32"/>
          <w:szCs w:val="32"/>
          <w:highlight w:val="none"/>
        </w:rPr>
      </w:pPr>
      <w:r>
        <w:rPr>
          <w:rFonts w:hint="eastAsia" w:ascii="仿宋_GB2312" w:eastAsia="仿宋_GB2312"/>
          <w:sz w:val="32"/>
          <w:szCs w:val="32"/>
          <w:highlight w:val="none"/>
        </w:rPr>
        <w:t>校内结题评审工作流程：</w:t>
      </w:r>
    </w:p>
    <w:p w14:paraId="148D46E3">
      <w:pPr>
        <w:tabs>
          <w:tab w:val="left" w:pos="540"/>
        </w:tabs>
        <w:spacing w:line="600" w:lineRule="exact"/>
        <w:ind w:firstLine="480" w:firstLineChars="150"/>
        <w:rPr>
          <w:rFonts w:ascii="仿宋_GB2312" w:eastAsia="仿宋_GB2312"/>
          <w:sz w:val="32"/>
          <w:szCs w:val="32"/>
          <w:highlight w:val="none"/>
        </w:rPr>
      </w:pPr>
      <w:r>
        <w:rPr>
          <w:rFonts w:hint="eastAsia" w:ascii="仿宋_GB2312" w:eastAsia="仿宋_GB2312"/>
          <w:sz w:val="32"/>
          <w:szCs w:val="32"/>
          <w:highlight w:val="none"/>
        </w:rPr>
        <w:t>（1）项目建设情况总结：项目建设期满，项目负责人组织成员对建设期内所做的工作进行总结，填写《项目结题验收登记表》，收集和整理成果实证材料等。</w:t>
      </w:r>
    </w:p>
    <w:p w14:paraId="5F47CA02">
      <w:pPr>
        <w:tabs>
          <w:tab w:val="left" w:pos="540"/>
        </w:tabs>
        <w:spacing w:line="600" w:lineRule="exact"/>
        <w:ind w:firstLine="480" w:firstLineChars="150"/>
        <w:rPr>
          <w:rFonts w:ascii="仿宋_GB2312" w:eastAsia="仿宋_GB2312"/>
          <w:color w:val="auto"/>
          <w:sz w:val="32"/>
          <w:szCs w:val="32"/>
          <w:highlight w:val="none"/>
        </w:rPr>
      </w:pPr>
      <w:r>
        <w:rPr>
          <w:rFonts w:hint="eastAsia" w:ascii="仿宋_GB2312" w:eastAsia="仿宋_GB2312"/>
          <w:sz w:val="32"/>
          <w:szCs w:val="32"/>
          <w:highlight w:val="none"/>
        </w:rPr>
        <w:t>（2）部门预评审：集体项目</w:t>
      </w:r>
      <w:r>
        <w:rPr>
          <w:rFonts w:hint="eastAsia" w:ascii="仿宋_GB2312" w:eastAsia="仿宋_GB2312"/>
          <w:color w:val="auto"/>
          <w:sz w:val="32"/>
          <w:szCs w:val="32"/>
          <w:highlight w:val="none"/>
        </w:rPr>
        <w:t>申请校内结题评审前须在部门内进行预评审。预评审专家主要以校内专家为主。预评审的目的是对项目组提交的验收材料进行检查和评审，查缺漏、找问题、提建议和意见。预评审专家组最终要形成预评审的意见，为下一阶段校内结题评审作为参考。</w:t>
      </w:r>
      <w:r>
        <w:rPr>
          <w:rFonts w:hint="eastAsia" w:ascii="仿宋_GB2312" w:hAnsi="宋体" w:eastAsia="仿宋_GB2312"/>
          <w:color w:val="auto"/>
          <w:sz w:val="32"/>
          <w:szCs w:val="32"/>
          <w:highlight w:val="none"/>
        </w:rPr>
        <w:t xml:space="preserve"> </w:t>
      </w:r>
    </w:p>
    <w:p w14:paraId="2A45FB97">
      <w:pPr>
        <w:tabs>
          <w:tab w:val="left" w:pos="540"/>
        </w:tabs>
        <w:spacing w:line="600" w:lineRule="exact"/>
        <w:ind w:firstLine="480" w:firstLineChars="150"/>
        <w:rPr>
          <w:rFonts w:ascii="仿宋_GB2312" w:eastAsia="仿宋_GB2312"/>
          <w:color w:val="auto"/>
          <w:sz w:val="32"/>
          <w:szCs w:val="32"/>
          <w:highlight w:val="none"/>
        </w:rPr>
      </w:pPr>
      <w:r>
        <w:rPr>
          <w:rFonts w:hint="eastAsia" w:ascii="仿宋_GB2312" w:eastAsia="仿宋_GB2312"/>
          <w:color w:val="auto"/>
          <w:sz w:val="32"/>
          <w:szCs w:val="32"/>
          <w:highlight w:val="none"/>
        </w:rPr>
        <w:t>（3）申请校内结题评审：项目负责人提交《校内结题评审工作安排表》和《项目结题验收登记表》，由教务处初步审核，确定是否具备资格参加校内结题评审，出具《校内结题审核意见》。</w:t>
      </w:r>
    </w:p>
    <w:p w14:paraId="433A5492">
      <w:pPr>
        <w:tabs>
          <w:tab w:val="left" w:pos="540"/>
        </w:tabs>
        <w:spacing w:line="600" w:lineRule="exact"/>
        <w:ind w:firstLine="480" w:firstLineChars="150"/>
        <w:rPr>
          <w:rFonts w:ascii="仿宋_GB2312" w:eastAsia="仿宋_GB2312"/>
          <w:color w:val="auto"/>
          <w:sz w:val="32"/>
          <w:szCs w:val="32"/>
          <w:highlight w:val="none"/>
        </w:rPr>
      </w:pPr>
      <w:r>
        <w:rPr>
          <w:rFonts w:hint="eastAsia" w:ascii="仿宋_GB2312" w:eastAsia="仿宋_GB2312"/>
          <w:color w:val="auto"/>
          <w:sz w:val="32"/>
          <w:szCs w:val="32"/>
          <w:highlight w:val="none"/>
        </w:rPr>
        <w:t>（4）专家校内结题评审：集体项目采取会议评审，个人项目自主安排。校内结题评审专家应符合省教育厅要求：评审专家组人数不能少于5名，校外专家人数不能少于三分之二，专家的工作经历、专业背景、学术专长必须与项目自身性质、所在学科、研究内容等有密切联系。</w:t>
      </w:r>
    </w:p>
    <w:p w14:paraId="7E593955">
      <w:pPr>
        <w:tabs>
          <w:tab w:val="left" w:pos="540"/>
        </w:tabs>
        <w:spacing w:line="600" w:lineRule="exact"/>
        <w:ind w:firstLine="643" w:firstLineChars="200"/>
        <w:rPr>
          <w:rFonts w:ascii="仿宋_GB2312" w:eastAsia="仿宋_GB2312"/>
          <w:color w:val="auto"/>
          <w:sz w:val="32"/>
          <w:szCs w:val="32"/>
          <w:highlight w:val="none"/>
        </w:rPr>
      </w:pPr>
      <w:r>
        <w:rPr>
          <w:rFonts w:hint="eastAsia" w:ascii="仿宋_GB2312" w:eastAsia="仿宋_GB2312"/>
          <w:b/>
          <w:color w:val="auto"/>
          <w:sz w:val="32"/>
          <w:szCs w:val="32"/>
          <w:highlight w:val="none"/>
        </w:rPr>
        <w:t>第三十一条</w:t>
      </w:r>
      <w:r>
        <w:rPr>
          <w:rFonts w:hint="eastAsia" w:ascii="仿宋_GB2312" w:eastAsia="仿宋_GB2312"/>
          <w:color w:val="auto"/>
          <w:sz w:val="32"/>
          <w:szCs w:val="32"/>
          <w:highlight w:val="none"/>
        </w:rPr>
        <w:t xml:space="preserve"> </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校内结题评审结论分为通过、暂缓通过、不通过。暂缓通过的项目，限期整改，达到预期的建设目标后，在下一个年度的项目结题验收时间参与验收。两次结论为“暂缓通过”的项目按“不通过”处理。校内结题评审的结论，报送上级主管部门统一验收。最终结论以上级主管部门统一验收结论为准。</w:t>
      </w:r>
    </w:p>
    <w:p w14:paraId="30886455">
      <w:pPr>
        <w:tabs>
          <w:tab w:val="left" w:pos="540"/>
        </w:tabs>
        <w:spacing w:line="600" w:lineRule="exact"/>
        <w:ind w:firstLine="643" w:firstLineChars="200"/>
        <w:rPr>
          <w:rFonts w:ascii="仿宋_GB2312" w:eastAsia="仿宋_GB2312"/>
          <w:color w:val="auto"/>
          <w:sz w:val="32"/>
          <w:szCs w:val="32"/>
          <w:highlight w:val="none"/>
        </w:rPr>
      </w:pPr>
      <w:r>
        <w:rPr>
          <w:rFonts w:hint="eastAsia" w:ascii="仿宋_GB2312" w:eastAsia="仿宋_GB2312"/>
          <w:b/>
          <w:color w:val="auto"/>
          <w:sz w:val="32"/>
          <w:szCs w:val="32"/>
          <w:highlight w:val="none"/>
        </w:rPr>
        <w:t xml:space="preserve">第三十二条  </w:t>
      </w:r>
      <w:r>
        <w:rPr>
          <w:rFonts w:hint="eastAsia" w:ascii="仿宋_GB2312" w:eastAsia="仿宋_GB2312"/>
          <w:color w:val="auto"/>
          <w:sz w:val="32"/>
          <w:szCs w:val="32"/>
          <w:highlight w:val="none"/>
        </w:rPr>
        <w:t>从已经立项的校级项目中选拔申报国家级、省级项目并获得立项的，建设周期调整为与国家级、省级项目相同，不单独进行校级项目结题验收。用国家级、省级项目校内结题评审代替校级项目结题验收，验收时间、验收流程参照国家级、省级项目校内结题评审，结果以国家级、省级项目校内结题评审为准。</w:t>
      </w:r>
    </w:p>
    <w:p w14:paraId="63B1E7C0">
      <w:pPr>
        <w:tabs>
          <w:tab w:val="left" w:pos="540"/>
        </w:tabs>
        <w:spacing w:line="600" w:lineRule="exact"/>
        <w:ind w:firstLine="643" w:firstLineChars="200"/>
        <w:rPr>
          <w:rFonts w:ascii="仿宋_GB2312" w:eastAsia="仿宋_GB2312"/>
          <w:color w:val="auto"/>
          <w:sz w:val="32"/>
          <w:szCs w:val="32"/>
          <w:highlight w:val="none"/>
        </w:rPr>
      </w:pPr>
      <w:r>
        <w:rPr>
          <w:rFonts w:hint="eastAsia" w:ascii="仿宋_GB2312" w:eastAsia="仿宋_GB2312"/>
          <w:b/>
          <w:color w:val="auto"/>
          <w:sz w:val="32"/>
          <w:szCs w:val="32"/>
          <w:highlight w:val="none"/>
        </w:rPr>
        <w:t xml:space="preserve">第三十三条  </w:t>
      </w:r>
      <w:r>
        <w:rPr>
          <w:rFonts w:hint="eastAsia" w:ascii="仿宋_GB2312" w:eastAsia="仿宋_GB2312"/>
          <w:color w:val="auto"/>
          <w:sz w:val="32"/>
          <w:szCs w:val="32"/>
          <w:highlight w:val="none"/>
        </w:rPr>
        <w:t>项目经费管理按照校级项目的规定执行。</w:t>
      </w:r>
    </w:p>
    <w:p w14:paraId="358DA0A1">
      <w:pPr>
        <w:spacing w:line="600" w:lineRule="exact"/>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第四部分 项目档案管理</w:t>
      </w:r>
    </w:p>
    <w:p w14:paraId="13144215">
      <w:pPr>
        <w:spacing w:line="600" w:lineRule="exact"/>
        <w:ind w:firstLine="630" w:firstLineChars="196"/>
        <w:rPr>
          <w:rFonts w:ascii="仿宋_GB2312" w:eastAsia="仿宋_GB2312"/>
          <w:color w:val="auto"/>
          <w:sz w:val="32"/>
          <w:szCs w:val="32"/>
          <w:highlight w:val="none"/>
        </w:rPr>
      </w:pPr>
      <w:r>
        <w:rPr>
          <w:rFonts w:hint="eastAsia" w:ascii="仿宋_GB2312" w:eastAsia="仿宋_GB2312"/>
          <w:b/>
          <w:color w:val="auto"/>
          <w:sz w:val="32"/>
          <w:szCs w:val="32"/>
          <w:highlight w:val="none"/>
        </w:rPr>
        <w:t xml:space="preserve">第三十四条  </w:t>
      </w:r>
      <w:r>
        <w:rPr>
          <w:rFonts w:hint="eastAsia" w:ascii="仿宋_GB2312" w:eastAsia="仿宋_GB2312"/>
          <w:color w:val="auto"/>
          <w:sz w:val="32"/>
          <w:szCs w:val="32"/>
          <w:highlight w:val="none"/>
        </w:rPr>
        <w:t>项目的档案管理按照立项项目和储备项目进行分类管理。</w:t>
      </w:r>
    </w:p>
    <w:p w14:paraId="07717102">
      <w:pPr>
        <w:tabs>
          <w:tab w:val="left" w:pos="180"/>
        </w:tabs>
        <w:spacing w:line="600" w:lineRule="exact"/>
        <w:ind w:firstLine="630" w:firstLineChars="196"/>
        <w:rPr>
          <w:rFonts w:ascii="仿宋_GB2312" w:eastAsia="仿宋_GB2312"/>
          <w:color w:val="auto"/>
          <w:sz w:val="32"/>
          <w:szCs w:val="32"/>
          <w:highlight w:val="none"/>
        </w:rPr>
      </w:pPr>
      <w:r>
        <w:rPr>
          <w:rFonts w:hint="eastAsia" w:ascii="仿宋_GB2312" w:eastAsia="仿宋_GB2312"/>
          <w:b/>
          <w:color w:val="auto"/>
          <w:sz w:val="32"/>
          <w:szCs w:val="32"/>
          <w:highlight w:val="none"/>
        </w:rPr>
        <w:t xml:space="preserve">第三十五条  </w:t>
      </w:r>
      <w:r>
        <w:rPr>
          <w:rFonts w:hint="eastAsia" w:ascii="仿宋_GB2312" w:eastAsia="仿宋_GB2312"/>
          <w:color w:val="auto"/>
          <w:sz w:val="32"/>
          <w:szCs w:val="32"/>
          <w:highlight w:val="none"/>
        </w:rPr>
        <w:t>项目的档案包括从申报、开题论证、中期检查、结题验收等工作环节中产生的各类文件资料以及其他必要材料。</w:t>
      </w:r>
    </w:p>
    <w:p w14:paraId="3A3A8B67">
      <w:pPr>
        <w:spacing w:line="600" w:lineRule="exact"/>
        <w:ind w:firstLine="787" w:firstLineChars="246"/>
        <w:rPr>
          <w:rFonts w:ascii="仿宋_GB2312" w:eastAsia="仿宋_GB2312"/>
          <w:color w:val="auto"/>
          <w:sz w:val="32"/>
          <w:szCs w:val="32"/>
          <w:highlight w:val="none"/>
        </w:rPr>
      </w:pPr>
      <w:r>
        <w:rPr>
          <w:rFonts w:hint="eastAsia" w:ascii="仿宋_GB2312" w:eastAsia="仿宋_GB2312"/>
          <w:color w:val="auto"/>
          <w:sz w:val="32"/>
          <w:szCs w:val="32"/>
          <w:highlight w:val="none"/>
        </w:rPr>
        <w:t>1．校级立项项目</w:t>
      </w:r>
    </w:p>
    <w:p w14:paraId="64068D36">
      <w:pPr>
        <w:spacing w:line="600" w:lineRule="exact"/>
        <w:ind w:firstLine="787" w:firstLineChars="246"/>
        <w:rPr>
          <w:rFonts w:ascii="仿宋_GB2312" w:eastAsia="仿宋_GB2312"/>
          <w:color w:val="auto"/>
          <w:sz w:val="32"/>
          <w:szCs w:val="32"/>
          <w:highlight w:val="none"/>
        </w:rPr>
      </w:pPr>
      <w:r>
        <w:rPr>
          <w:rFonts w:hint="eastAsia" w:ascii="仿宋_GB2312" w:eastAsia="仿宋_GB2312"/>
          <w:color w:val="auto"/>
          <w:sz w:val="32"/>
          <w:szCs w:val="32"/>
          <w:highlight w:val="none"/>
        </w:rPr>
        <w:t>（1）项目的申报书（1份，教务处留底）</w:t>
      </w:r>
    </w:p>
    <w:p w14:paraId="01E46E92">
      <w:pPr>
        <w:spacing w:line="600" w:lineRule="exact"/>
        <w:ind w:firstLine="787" w:firstLineChars="246"/>
        <w:rPr>
          <w:rFonts w:ascii="仿宋_GB2312" w:eastAsia="仿宋_GB2312"/>
          <w:color w:val="auto"/>
          <w:sz w:val="32"/>
          <w:szCs w:val="32"/>
          <w:highlight w:val="none"/>
        </w:rPr>
      </w:pPr>
      <w:r>
        <w:rPr>
          <w:rFonts w:hint="eastAsia" w:ascii="仿宋_GB2312" w:eastAsia="仿宋_GB2312"/>
          <w:color w:val="auto"/>
          <w:sz w:val="32"/>
          <w:szCs w:val="32"/>
          <w:highlight w:val="none"/>
        </w:rPr>
        <w:t>（2）校级立项公布文件（1份，教务处留底）</w:t>
      </w:r>
    </w:p>
    <w:p w14:paraId="7C29531F">
      <w:pPr>
        <w:spacing w:line="600" w:lineRule="exact"/>
        <w:ind w:firstLine="787" w:firstLineChars="246"/>
        <w:rPr>
          <w:rFonts w:ascii="仿宋_GB2312" w:eastAsia="仿宋_GB2312"/>
          <w:sz w:val="32"/>
          <w:szCs w:val="32"/>
          <w:highlight w:val="none"/>
        </w:rPr>
      </w:pPr>
      <w:r>
        <w:rPr>
          <w:rFonts w:hint="eastAsia" w:ascii="仿宋_GB2312" w:eastAsia="仿宋_GB2312"/>
          <w:color w:val="auto"/>
          <w:sz w:val="32"/>
          <w:szCs w:val="32"/>
          <w:highlight w:val="none"/>
        </w:rPr>
        <w:t>（3）项目建设任务书（一式三</w:t>
      </w:r>
      <w:r>
        <w:rPr>
          <w:rFonts w:hint="eastAsia" w:ascii="仿宋_GB2312" w:eastAsia="仿宋_GB2312"/>
          <w:sz w:val="32"/>
          <w:szCs w:val="32"/>
          <w:highlight w:val="none"/>
        </w:rPr>
        <w:t>份，教务处、所在部门和项目负责人各1份）</w:t>
      </w:r>
    </w:p>
    <w:p w14:paraId="79AFBB82">
      <w:pPr>
        <w:spacing w:line="600" w:lineRule="exact"/>
        <w:ind w:firstLine="787" w:firstLineChars="246"/>
        <w:rPr>
          <w:rFonts w:ascii="仿宋_GB2312" w:eastAsia="仿宋_GB2312"/>
          <w:sz w:val="32"/>
          <w:szCs w:val="32"/>
          <w:highlight w:val="none"/>
        </w:rPr>
      </w:pPr>
      <w:r>
        <w:rPr>
          <w:rFonts w:hint="eastAsia" w:ascii="仿宋_GB2312" w:eastAsia="仿宋_GB2312"/>
          <w:sz w:val="32"/>
          <w:szCs w:val="32"/>
          <w:highlight w:val="none"/>
        </w:rPr>
        <w:t>（4）项目经费使用协议书（一式四份，财务处、教务处、所在部门和项目负责人各1份）</w:t>
      </w:r>
    </w:p>
    <w:p w14:paraId="35C89FD7">
      <w:pPr>
        <w:spacing w:line="600" w:lineRule="exact"/>
        <w:ind w:firstLine="787" w:firstLineChars="246"/>
        <w:rPr>
          <w:rFonts w:ascii="仿宋_GB2312" w:eastAsia="仿宋_GB2312"/>
          <w:sz w:val="32"/>
          <w:szCs w:val="32"/>
          <w:highlight w:val="none"/>
        </w:rPr>
      </w:pPr>
      <w:r>
        <w:rPr>
          <w:rFonts w:hint="eastAsia" w:ascii="仿宋_GB2312" w:eastAsia="仿宋_GB2312"/>
          <w:sz w:val="32"/>
          <w:szCs w:val="32"/>
          <w:highlight w:val="none"/>
        </w:rPr>
        <w:t>（5）项目中期检查报告（1份，教务处留底）</w:t>
      </w:r>
    </w:p>
    <w:p w14:paraId="497BF4AA">
      <w:pPr>
        <w:spacing w:line="600" w:lineRule="exact"/>
        <w:ind w:firstLine="787" w:firstLineChars="246"/>
        <w:rPr>
          <w:rFonts w:ascii="仿宋_GB2312" w:eastAsia="仿宋_GB2312"/>
          <w:sz w:val="32"/>
          <w:szCs w:val="32"/>
          <w:highlight w:val="none"/>
        </w:rPr>
      </w:pPr>
      <w:r>
        <w:rPr>
          <w:rFonts w:hint="eastAsia" w:ascii="仿宋_GB2312" w:eastAsia="仿宋_GB2312"/>
          <w:sz w:val="32"/>
          <w:szCs w:val="32"/>
          <w:highlight w:val="none"/>
        </w:rPr>
        <w:t>（6）项目结题验收报告（1份，教务处留底）</w:t>
      </w:r>
    </w:p>
    <w:p w14:paraId="55F62B5C">
      <w:pPr>
        <w:spacing w:line="600" w:lineRule="exact"/>
        <w:ind w:firstLine="787" w:firstLineChars="246"/>
        <w:rPr>
          <w:rFonts w:ascii="仿宋_GB2312" w:eastAsia="仿宋_GB2312"/>
          <w:sz w:val="32"/>
          <w:szCs w:val="32"/>
          <w:highlight w:val="none"/>
        </w:rPr>
      </w:pPr>
      <w:r>
        <w:rPr>
          <w:rFonts w:hint="eastAsia" w:ascii="仿宋_GB2312" w:eastAsia="仿宋_GB2312"/>
          <w:sz w:val="32"/>
          <w:szCs w:val="32"/>
          <w:highlight w:val="none"/>
        </w:rPr>
        <w:t>（7）项目成果证明材料</w:t>
      </w:r>
    </w:p>
    <w:p w14:paraId="7D67FB74">
      <w:pPr>
        <w:spacing w:line="600" w:lineRule="exact"/>
        <w:ind w:firstLine="787" w:firstLineChars="246"/>
        <w:rPr>
          <w:rFonts w:ascii="仿宋_GB2312" w:eastAsia="仿宋_GB2312"/>
          <w:sz w:val="32"/>
          <w:szCs w:val="32"/>
          <w:highlight w:val="none"/>
        </w:rPr>
      </w:pPr>
      <w:r>
        <w:rPr>
          <w:rFonts w:hint="eastAsia" w:ascii="仿宋_GB2312" w:eastAsia="仿宋_GB2312"/>
          <w:sz w:val="32"/>
          <w:szCs w:val="32"/>
          <w:highlight w:val="none"/>
        </w:rPr>
        <w:t>2．国家级、省级立项项目</w:t>
      </w:r>
    </w:p>
    <w:p w14:paraId="2F9598AE">
      <w:pPr>
        <w:spacing w:line="600" w:lineRule="exact"/>
        <w:ind w:firstLine="787" w:firstLineChars="246"/>
        <w:rPr>
          <w:rFonts w:ascii="仿宋_GB2312" w:eastAsia="仿宋_GB2312"/>
          <w:sz w:val="32"/>
          <w:szCs w:val="32"/>
          <w:highlight w:val="none"/>
        </w:rPr>
      </w:pPr>
      <w:r>
        <w:rPr>
          <w:rFonts w:hint="eastAsia" w:ascii="仿宋_GB2312" w:eastAsia="仿宋_GB2312"/>
          <w:sz w:val="32"/>
          <w:szCs w:val="32"/>
          <w:highlight w:val="none"/>
        </w:rPr>
        <w:t>（1）学校推荐申报的发文（1份，教务处留底）</w:t>
      </w:r>
    </w:p>
    <w:p w14:paraId="39F2F2E6">
      <w:pPr>
        <w:spacing w:line="600" w:lineRule="exact"/>
        <w:ind w:firstLine="787" w:firstLineChars="246"/>
        <w:rPr>
          <w:rFonts w:ascii="仿宋_GB2312" w:eastAsia="仿宋_GB2312"/>
          <w:sz w:val="32"/>
          <w:szCs w:val="32"/>
          <w:highlight w:val="none"/>
        </w:rPr>
      </w:pPr>
      <w:r>
        <w:rPr>
          <w:rFonts w:hint="eastAsia" w:ascii="仿宋_GB2312" w:eastAsia="仿宋_GB2312"/>
          <w:sz w:val="32"/>
          <w:szCs w:val="32"/>
          <w:highlight w:val="none"/>
        </w:rPr>
        <w:t>（2）项目建设任务书（申报书）（一式两份，教务处和项目负责人各1份）</w:t>
      </w:r>
    </w:p>
    <w:p w14:paraId="56C48116">
      <w:pPr>
        <w:spacing w:line="600" w:lineRule="exact"/>
        <w:ind w:firstLine="787" w:firstLineChars="246"/>
        <w:rPr>
          <w:rFonts w:ascii="仿宋_GB2312" w:eastAsia="仿宋_GB2312"/>
          <w:sz w:val="32"/>
          <w:szCs w:val="32"/>
          <w:highlight w:val="none"/>
        </w:rPr>
      </w:pPr>
      <w:r>
        <w:rPr>
          <w:rFonts w:hint="eastAsia" w:ascii="仿宋_GB2312" w:eastAsia="仿宋_GB2312"/>
          <w:sz w:val="32"/>
          <w:szCs w:val="32"/>
          <w:highlight w:val="none"/>
        </w:rPr>
        <w:t>（3）上级部门公布发文通知（1份，教务处留底）</w:t>
      </w:r>
    </w:p>
    <w:p w14:paraId="33634C2D">
      <w:pPr>
        <w:spacing w:line="600" w:lineRule="exact"/>
        <w:ind w:firstLine="787" w:firstLineChars="246"/>
        <w:rPr>
          <w:rFonts w:ascii="仿宋_GB2312" w:eastAsia="仿宋_GB2312"/>
          <w:sz w:val="32"/>
          <w:szCs w:val="32"/>
          <w:highlight w:val="none"/>
        </w:rPr>
      </w:pPr>
      <w:r>
        <w:rPr>
          <w:rFonts w:hint="eastAsia" w:ascii="仿宋_GB2312" w:eastAsia="仿宋_GB2312"/>
          <w:sz w:val="32"/>
          <w:szCs w:val="32"/>
          <w:highlight w:val="none"/>
        </w:rPr>
        <w:t>（4）项目开题报告书（一式两份，教务处和项目负责人各1份）</w:t>
      </w:r>
    </w:p>
    <w:p w14:paraId="07450D28">
      <w:pPr>
        <w:spacing w:line="600" w:lineRule="exact"/>
        <w:ind w:firstLine="800" w:firstLineChars="250"/>
        <w:rPr>
          <w:rFonts w:ascii="仿宋_GB2312" w:eastAsia="仿宋_GB2312"/>
          <w:sz w:val="32"/>
          <w:szCs w:val="32"/>
          <w:highlight w:val="none"/>
        </w:rPr>
      </w:pPr>
      <w:r>
        <w:rPr>
          <w:rFonts w:hint="eastAsia" w:ascii="仿宋_GB2312" w:eastAsia="仿宋_GB2312"/>
          <w:sz w:val="32"/>
          <w:szCs w:val="32"/>
          <w:highlight w:val="none"/>
        </w:rPr>
        <w:t>（5）项目中期检查报告（1份，教务处留底）</w:t>
      </w:r>
    </w:p>
    <w:p w14:paraId="0C7C7BA4">
      <w:pPr>
        <w:spacing w:line="600" w:lineRule="exact"/>
        <w:ind w:firstLine="800" w:firstLineChars="250"/>
        <w:rPr>
          <w:rFonts w:ascii="仿宋_GB2312" w:eastAsia="仿宋_GB2312"/>
          <w:sz w:val="32"/>
          <w:szCs w:val="32"/>
          <w:highlight w:val="none"/>
        </w:rPr>
      </w:pPr>
      <w:r>
        <w:rPr>
          <w:rFonts w:hint="eastAsia" w:ascii="仿宋_GB2312" w:eastAsia="仿宋_GB2312"/>
          <w:sz w:val="32"/>
          <w:szCs w:val="32"/>
          <w:highlight w:val="none"/>
        </w:rPr>
        <w:t>（6）项目结题验收登记表（1份，教务处留底）</w:t>
      </w:r>
    </w:p>
    <w:p w14:paraId="04D8452F">
      <w:pPr>
        <w:spacing w:line="600" w:lineRule="exact"/>
        <w:ind w:firstLine="800" w:firstLineChars="250"/>
        <w:rPr>
          <w:rFonts w:ascii="仿宋_GB2312" w:eastAsia="仿宋_GB2312"/>
          <w:sz w:val="32"/>
          <w:szCs w:val="32"/>
          <w:highlight w:val="none"/>
        </w:rPr>
      </w:pPr>
      <w:r>
        <w:rPr>
          <w:rFonts w:hint="eastAsia" w:ascii="仿宋_GB2312" w:eastAsia="仿宋_GB2312"/>
          <w:sz w:val="32"/>
          <w:szCs w:val="32"/>
          <w:highlight w:val="none"/>
        </w:rPr>
        <w:t>（7）项目成果实证材料</w:t>
      </w:r>
    </w:p>
    <w:p w14:paraId="76666789">
      <w:pPr>
        <w:spacing w:line="600" w:lineRule="exact"/>
        <w:ind w:firstLine="800" w:firstLineChars="250"/>
        <w:rPr>
          <w:rFonts w:ascii="仿宋_GB2312" w:eastAsia="仿宋_GB2312"/>
          <w:sz w:val="32"/>
          <w:szCs w:val="32"/>
          <w:highlight w:val="none"/>
        </w:rPr>
      </w:pPr>
      <w:r>
        <w:rPr>
          <w:rFonts w:hint="eastAsia" w:ascii="仿宋_GB2312" w:eastAsia="仿宋_GB2312"/>
          <w:sz w:val="32"/>
          <w:szCs w:val="32"/>
          <w:highlight w:val="none"/>
        </w:rPr>
        <w:t>（8）上级部门公布验收结果发文通知（1份，教务处留底）</w:t>
      </w:r>
    </w:p>
    <w:p w14:paraId="14035B87">
      <w:pPr>
        <w:spacing w:line="600" w:lineRule="exact"/>
        <w:ind w:firstLine="800" w:firstLineChars="250"/>
        <w:rPr>
          <w:rFonts w:ascii="仿宋_GB2312" w:eastAsia="仿宋_GB2312"/>
          <w:color w:val="auto"/>
          <w:sz w:val="32"/>
          <w:szCs w:val="32"/>
          <w:highlight w:val="none"/>
        </w:rPr>
      </w:pPr>
      <w:r>
        <w:rPr>
          <w:rFonts w:hint="eastAsia" w:ascii="仿宋_GB2312" w:eastAsia="仿宋_GB2312"/>
          <w:color w:val="auto"/>
          <w:sz w:val="32"/>
          <w:szCs w:val="32"/>
          <w:highlight w:val="none"/>
        </w:rPr>
        <w:t>3．储备项目：项目申报书（留存电子版）。</w:t>
      </w:r>
    </w:p>
    <w:p w14:paraId="4F4E062D">
      <w:pPr>
        <w:tabs>
          <w:tab w:val="left" w:pos="540"/>
        </w:tabs>
        <w:spacing w:line="600" w:lineRule="exact"/>
        <w:jc w:val="center"/>
        <w:rPr>
          <w:rFonts w:ascii="黑体" w:hAnsi="黑体" w:eastAsia="黑体"/>
          <w:sz w:val="32"/>
          <w:szCs w:val="32"/>
          <w:highlight w:val="none"/>
        </w:rPr>
      </w:pPr>
      <w:r>
        <w:rPr>
          <w:rFonts w:hint="eastAsia" w:ascii="黑体" w:hAnsi="黑体" w:eastAsia="黑体"/>
          <w:sz w:val="32"/>
          <w:szCs w:val="32"/>
          <w:highlight w:val="none"/>
        </w:rPr>
        <w:t>第五部分 附则</w:t>
      </w:r>
    </w:p>
    <w:p w14:paraId="3280E1A7">
      <w:pPr>
        <w:spacing w:line="600" w:lineRule="exact"/>
        <w:ind w:firstLine="643" w:firstLineChars="200"/>
        <w:rPr>
          <w:rFonts w:ascii="仿宋_GB2312" w:eastAsia="仿宋_GB2312"/>
          <w:sz w:val="32"/>
          <w:szCs w:val="32"/>
          <w:highlight w:val="none"/>
        </w:rPr>
      </w:pPr>
      <w:r>
        <w:rPr>
          <w:rFonts w:hint="eastAsia" w:ascii="仿宋_GB2312" w:eastAsia="仿宋_GB2312"/>
          <w:b/>
          <w:sz w:val="32"/>
          <w:szCs w:val="32"/>
          <w:highlight w:val="none"/>
        </w:rPr>
        <w:t>第三十六条</w:t>
      </w:r>
      <w:r>
        <w:rPr>
          <w:rFonts w:hint="eastAsia" w:ascii="仿宋_GB2312" w:eastAsia="仿宋_GB2312"/>
          <w:sz w:val="32"/>
          <w:szCs w:val="32"/>
          <w:highlight w:val="none"/>
        </w:rPr>
        <w:t xml:space="preserve"> 本细则由教务处负责解释。</w:t>
      </w:r>
    </w:p>
    <w:p w14:paraId="2E33CBDB">
      <w:pPr>
        <w:spacing w:line="600" w:lineRule="exact"/>
        <w:ind w:firstLine="643" w:firstLineChars="200"/>
        <w:rPr>
          <w:sz w:val="24"/>
          <w:highlight w:val="none"/>
        </w:rPr>
      </w:pPr>
      <w:r>
        <w:rPr>
          <w:rFonts w:hint="eastAsia" w:ascii="仿宋_GB2312" w:eastAsia="仿宋_GB2312"/>
          <w:b/>
          <w:sz w:val="32"/>
          <w:szCs w:val="32"/>
          <w:highlight w:val="none"/>
        </w:rPr>
        <w:t>第三十七条</w:t>
      </w:r>
      <w:r>
        <w:rPr>
          <w:rFonts w:hint="eastAsia" w:ascii="仿宋_GB2312" w:eastAsia="仿宋_GB2312"/>
          <w:sz w:val="32"/>
          <w:szCs w:val="32"/>
          <w:highlight w:val="none"/>
        </w:rPr>
        <w:t xml:space="preserve"> 本细则自发布之日起开始实施。</w:t>
      </w:r>
    </w:p>
    <w:p w14:paraId="6DBBCEB3">
      <w:pPr>
        <w:spacing w:line="600" w:lineRule="exact"/>
        <w:ind w:firstLine="640" w:firstLineChars="200"/>
        <w:rPr>
          <w:rFonts w:ascii="仿宋_GB2312" w:eastAsia="仿宋_GB2312"/>
          <w:sz w:val="32"/>
          <w:szCs w:val="32"/>
          <w:highlight w:val="none"/>
        </w:rPr>
      </w:pPr>
    </w:p>
    <w:p w14:paraId="5588A923">
      <w:pPr>
        <w:spacing w:line="600" w:lineRule="exact"/>
        <w:ind w:firstLine="640" w:firstLineChars="200"/>
        <w:rPr>
          <w:sz w:val="24"/>
          <w:highlight w:val="none"/>
        </w:rPr>
      </w:pPr>
      <w:r>
        <w:rPr>
          <w:rFonts w:hint="eastAsia" w:ascii="仿宋_GB2312" w:eastAsia="仿宋_GB2312"/>
          <w:sz w:val="32"/>
          <w:szCs w:val="32"/>
          <w:highlight w:val="none"/>
        </w:rPr>
        <w:t>附表：教学质量与教学改革工程建设内容及分类</w:t>
      </w:r>
    </w:p>
    <w:p w14:paraId="2335D525">
      <w:pPr>
        <w:spacing w:line="600" w:lineRule="exact"/>
        <w:rPr>
          <w:sz w:val="24"/>
          <w:highlight w:val="none"/>
        </w:rPr>
      </w:pPr>
    </w:p>
    <w:p w14:paraId="452F8A6F">
      <w:pPr>
        <w:jc w:val="center"/>
        <w:rPr>
          <w:rFonts w:ascii="方正小标宋简体" w:eastAsia="方正小标宋简体"/>
          <w:sz w:val="32"/>
          <w:szCs w:val="32"/>
          <w:highlight w:val="none"/>
        </w:rPr>
        <w:sectPr>
          <w:pgSz w:w="11906" w:h="16838"/>
          <w:pgMar w:top="1418" w:right="1418" w:bottom="1418" w:left="1418" w:header="851" w:footer="992" w:gutter="0"/>
          <w:pgNumType w:fmt="numberInDash"/>
          <w:cols w:space="425" w:num="1"/>
          <w:docGrid w:type="lines" w:linePitch="312" w:charSpace="0"/>
        </w:sectPr>
      </w:pPr>
    </w:p>
    <w:p w14:paraId="2EEC9F91">
      <w:pPr>
        <w:spacing w:line="600" w:lineRule="exact"/>
        <w:jc w:val="center"/>
        <w:rPr>
          <w:rFonts w:ascii="方正小标宋简体" w:eastAsia="方正小标宋简体"/>
          <w:sz w:val="32"/>
          <w:szCs w:val="32"/>
          <w:highlight w:val="none"/>
        </w:rPr>
      </w:pPr>
      <w:r>
        <w:rPr>
          <w:rFonts w:hint="eastAsia" w:ascii="方正小标宋简体" w:eastAsia="方正小标宋简体"/>
          <w:sz w:val="32"/>
          <w:szCs w:val="32"/>
          <w:highlight w:val="none"/>
        </w:rPr>
        <w:t>教学质量与教学改革工程建设内容及分类</w:t>
      </w:r>
    </w:p>
    <w:tbl>
      <w:tblPr>
        <w:tblStyle w:val="3"/>
        <w:tblpPr w:leftFromText="180" w:rightFromText="180" w:vertAnchor="page" w:horzAnchor="margin" w:tblpXSpec="center" w:tblpY="2221"/>
        <w:tblW w:w="8621" w:type="dxa"/>
        <w:tblInd w:w="0" w:type="dxa"/>
        <w:tblLayout w:type="autofit"/>
        <w:tblCellMar>
          <w:top w:w="0" w:type="dxa"/>
          <w:left w:w="108" w:type="dxa"/>
          <w:bottom w:w="0" w:type="dxa"/>
          <w:right w:w="108" w:type="dxa"/>
        </w:tblCellMar>
      </w:tblPr>
      <w:tblGrid>
        <w:gridCol w:w="2316"/>
        <w:gridCol w:w="4253"/>
        <w:gridCol w:w="2052"/>
      </w:tblGrid>
      <w:tr w14:paraId="6E20F39F">
        <w:tblPrEx>
          <w:tblCellMar>
            <w:top w:w="0" w:type="dxa"/>
            <w:left w:w="108" w:type="dxa"/>
            <w:bottom w:w="0" w:type="dxa"/>
            <w:right w:w="108" w:type="dxa"/>
          </w:tblCellMar>
        </w:tblPrEx>
        <w:trPr>
          <w:trHeight w:val="439" w:hRule="atLeast"/>
        </w:trPr>
        <w:tc>
          <w:tcPr>
            <w:tcW w:w="2316" w:type="dxa"/>
            <w:tcBorders>
              <w:top w:val="single" w:color="auto" w:sz="4" w:space="0"/>
              <w:left w:val="single" w:color="auto" w:sz="4" w:space="0"/>
              <w:bottom w:val="single" w:color="auto" w:sz="4" w:space="0"/>
              <w:right w:val="single" w:color="auto" w:sz="4" w:space="0"/>
            </w:tcBorders>
            <w:noWrap/>
            <w:vAlign w:val="center"/>
          </w:tcPr>
          <w:p w14:paraId="187C0CA9">
            <w:pPr>
              <w:widowControl/>
              <w:spacing w:line="600" w:lineRule="exact"/>
              <w:jc w:val="center"/>
              <w:rPr>
                <w:rFonts w:ascii="仿宋_GB2312" w:eastAsia="仿宋_GB2312"/>
                <w:kern w:val="0"/>
                <w:sz w:val="24"/>
                <w:highlight w:val="none"/>
              </w:rPr>
            </w:pPr>
            <w:r>
              <w:rPr>
                <w:rFonts w:hint="eastAsia" w:ascii="仿宋_GB2312" w:hAnsi="宋体" w:eastAsia="仿宋_GB2312"/>
                <w:b/>
                <w:bCs/>
                <w:kern w:val="0"/>
                <w:sz w:val="24"/>
                <w:highlight w:val="none"/>
              </w:rPr>
              <w:t>项目类型</w:t>
            </w:r>
          </w:p>
        </w:tc>
        <w:tc>
          <w:tcPr>
            <w:tcW w:w="4253" w:type="dxa"/>
            <w:tcBorders>
              <w:top w:val="single" w:color="auto" w:sz="4" w:space="0"/>
              <w:left w:val="nil"/>
              <w:bottom w:val="single" w:color="auto" w:sz="4" w:space="0"/>
              <w:right w:val="single" w:color="auto" w:sz="4" w:space="0"/>
            </w:tcBorders>
            <w:noWrap/>
            <w:vAlign w:val="center"/>
          </w:tcPr>
          <w:p w14:paraId="16FCB566">
            <w:pPr>
              <w:widowControl/>
              <w:spacing w:line="60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项目名称</w:t>
            </w:r>
          </w:p>
        </w:tc>
        <w:tc>
          <w:tcPr>
            <w:tcW w:w="2052" w:type="dxa"/>
            <w:tcBorders>
              <w:top w:val="single" w:color="auto" w:sz="4" w:space="0"/>
              <w:left w:val="nil"/>
              <w:bottom w:val="single" w:color="auto" w:sz="4" w:space="0"/>
              <w:right w:val="single" w:color="auto" w:sz="4" w:space="0"/>
            </w:tcBorders>
            <w:noWrap/>
            <w:vAlign w:val="center"/>
          </w:tcPr>
          <w:p w14:paraId="0203C90A">
            <w:pPr>
              <w:widowControl/>
              <w:spacing w:line="60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项目类别</w:t>
            </w:r>
          </w:p>
        </w:tc>
      </w:tr>
      <w:tr w14:paraId="0C96A3ED">
        <w:tblPrEx>
          <w:tblCellMar>
            <w:top w:w="0" w:type="dxa"/>
            <w:left w:w="108" w:type="dxa"/>
            <w:bottom w:w="0" w:type="dxa"/>
            <w:right w:w="108" w:type="dxa"/>
          </w:tblCellMar>
        </w:tblPrEx>
        <w:trPr>
          <w:trHeight w:val="439" w:hRule="atLeast"/>
        </w:trPr>
        <w:tc>
          <w:tcPr>
            <w:tcW w:w="2316" w:type="dxa"/>
            <w:vMerge w:val="restart"/>
            <w:tcBorders>
              <w:top w:val="nil"/>
              <w:left w:val="single" w:color="auto" w:sz="4" w:space="0"/>
              <w:bottom w:val="single" w:color="auto" w:sz="4" w:space="0"/>
              <w:right w:val="single" w:color="auto" w:sz="4" w:space="0"/>
            </w:tcBorders>
            <w:noWrap/>
            <w:vAlign w:val="center"/>
          </w:tcPr>
          <w:p w14:paraId="33F2E1C0">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专业类项目</w:t>
            </w:r>
          </w:p>
        </w:tc>
        <w:tc>
          <w:tcPr>
            <w:tcW w:w="4253" w:type="dxa"/>
            <w:tcBorders>
              <w:top w:val="nil"/>
              <w:left w:val="nil"/>
              <w:bottom w:val="single" w:color="auto" w:sz="4" w:space="0"/>
              <w:right w:val="single" w:color="auto" w:sz="4" w:space="0"/>
            </w:tcBorders>
            <w:noWrap/>
            <w:vAlign w:val="center"/>
          </w:tcPr>
          <w:p w14:paraId="1C1F8807">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重点专业</w:t>
            </w:r>
          </w:p>
        </w:tc>
        <w:tc>
          <w:tcPr>
            <w:tcW w:w="2052" w:type="dxa"/>
            <w:tcBorders>
              <w:top w:val="nil"/>
              <w:left w:val="nil"/>
              <w:bottom w:val="single" w:color="auto" w:sz="4" w:space="0"/>
              <w:right w:val="single" w:color="auto" w:sz="4" w:space="0"/>
            </w:tcBorders>
            <w:noWrap/>
            <w:vAlign w:val="center"/>
          </w:tcPr>
          <w:p w14:paraId="1B536365">
            <w:pPr>
              <w:widowControl/>
              <w:spacing w:line="600" w:lineRule="exact"/>
              <w:jc w:val="center"/>
              <w:rPr>
                <w:rFonts w:ascii="仿宋_GB2312" w:hAnsi="宋体" w:eastAsia="仿宋_GB2312" w:cs="宋体"/>
                <w:bCs/>
                <w:kern w:val="0"/>
                <w:sz w:val="24"/>
                <w:highlight w:val="none"/>
              </w:rPr>
            </w:pPr>
            <w:r>
              <w:rPr>
                <w:rFonts w:hint="eastAsia" w:ascii="仿宋_GB2312" w:hAnsi="宋体" w:eastAsia="仿宋_GB2312" w:cs="宋体"/>
                <w:bCs/>
                <w:kern w:val="0"/>
                <w:sz w:val="24"/>
                <w:highlight w:val="none"/>
              </w:rPr>
              <w:t>学院集体项目</w:t>
            </w:r>
          </w:p>
        </w:tc>
      </w:tr>
      <w:tr w14:paraId="73536511">
        <w:tblPrEx>
          <w:tblCellMar>
            <w:top w:w="0" w:type="dxa"/>
            <w:left w:w="108" w:type="dxa"/>
            <w:bottom w:w="0" w:type="dxa"/>
            <w:right w:w="108" w:type="dxa"/>
          </w:tblCellMar>
        </w:tblPrEx>
        <w:trPr>
          <w:trHeight w:val="439" w:hRule="atLeast"/>
        </w:trPr>
        <w:tc>
          <w:tcPr>
            <w:tcW w:w="2316" w:type="dxa"/>
            <w:vMerge w:val="continue"/>
            <w:tcBorders>
              <w:top w:val="nil"/>
              <w:left w:val="single" w:color="auto" w:sz="4" w:space="0"/>
              <w:bottom w:val="single" w:color="auto" w:sz="4" w:space="0"/>
              <w:right w:val="single" w:color="auto" w:sz="4" w:space="0"/>
            </w:tcBorders>
            <w:vAlign w:val="center"/>
          </w:tcPr>
          <w:p w14:paraId="23C68751">
            <w:pPr>
              <w:widowControl/>
              <w:spacing w:line="600" w:lineRule="exact"/>
              <w:jc w:val="left"/>
              <w:rPr>
                <w:rFonts w:ascii="仿宋_GB2312" w:hAnsi="宋体" w:eastAsia="仿宋_GB2312" w:cs="宋体"/>
                <w:kern w:val="0"/>
                <w:sz w:val="24"/>
                <w:highlight w:val="none"/>
              </w:rPr>
            </w:pPr>
          </w:p>
        </w:tc>
        <w:tc>
          <w:tcPr>
            <w:tcW w:w="4253" w:type="dxa"/>
            <w:tcBorders>
              <w:top w:val="nil"/>
              <w:left w:val="nil"/>
              <w:bottom w:val="single" w:color="auto" w:sz="4" w:space="0"/>
              <w:right w:val="single" w:color="auto" w:sz="4" w:space="0"/>
            </w:tcBorders>
            <w:noWrap/>
            <w:vAlign w:val="center"/>
          </w:tcPr>
          <w:p w14:paraId="3668D88D">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特色专业</w:t>
            </w:r>
          </w:p>
        </w:tc>
        <w:tc>
          <w:tcPr>
            <w:tcW w:w="2052" w:type="dxa"/>
            <w:tcBorders>
              <w:top w:val="nil"/>
              <w:left w:val="nil"/>
              <w:bottom w:val="single" w:color="auto" w:sz="4" w:space="0"/>
              <w:right w:val="single" w:color="auto" w:sz="4" w:space="0"/>
            </w:tcBorders>
            <w:noWrap/>
            <w:vAlign w:val="center"/>
          </w:tcPr>
          <w:p w14:paraId="02DC825F">
            <w:pPr>
              <w:jc w:val="center"/>
              <w:rPr>
                <w:highlight w:val="none"/>
              </w:rPr>
            </w:pPr>
            <w:r>
              <w:rPr>
                <w:rFonts w:hint="eastAsia" w:ascii="仿宋_GB2312" w:hAnsi="宋体" w:eastAsia="仿宋_GB2312" w:cs="宋体"/>
                <w:bCs/>
                <w:kern w:val="0"/>
                <w:sz w:val="24"/>
                <w:highlight w:val="none"/>
              </w:rPr>
              <w:t>学院集体项目</w:t>
            </w:r>
          </w:p>
        </w:tc>
      </w:tr>
      <w:tr w14:paraId="5FA69F8B">
        <w:tblPrEx>
          <w:tblCellMar>
            <w:top w:w="0" w:type="dxa"/>
            <w:left w:w="108" w:type="dxa"/>
            <w:bottom w:w="0" w:type="dxa"/>
            <w:right w:w="108" w:type="dxa"/>
          </w:tblCellMar>
        </w:tblPrEx>
        <w:trPr>
          <w:trHeight w:val="439" w:hRule="atLeast"/>
        </w:trPr>
        <w:tc>
          <w:tcPr>
            <w:tcW w:w="2316" w:type="dxa"/>
            <w:vMerge w:val="restart"/>
            <w:tcBorders>
              <w:top w:val="single" w:color="auto" w:sz="4" w:space="0"/>
              <w:left w:val="single" w:color="auto" w:sz="4" w:space="0"/>
              <w:bottom w:val="single" w:color="auto" w:sz="4" w:space="0"/>
              <w:right w:val="single" w:color="auto" w:sz="4" w:space="0"/>
            </w:tcBorders>
            <w:noWrap/>
            <w:vAlign w:val="center"/>
          </w:tcPr>
          <w:p w14:paraId="1F7EA704">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课程类项目</w:t>
            </w:r>
          </w:p>
        </w:tc>
        <w:tc>
          <w:tcPr>
            <w:tcW w:w="4253" w:type="dxa"/>
            <w:tcBorders>
              <w:top w:val="nil"/>
              <w:left w:val="nil"/>
              <w:bottom w:val="single" w:color="auto" w:sz="4" w:space="0"/>
              <w:right w:val="single" w:color="auto" w:sz="4" w:space="0"/>
            </w:tcBorders>
            <w:noWrap/>
            <w:vAlign w:val="center"/>
          </w:tcPr>
          <w:p w14:paraId="7F9E35FA">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在线开放课程</w:t>
            </w:r>
          </w:p>
        </w:tc>
        <w:tc>
          <w:tcPr>
            <w:tcW w:w="2052" w:type="dxa"/>
            <w:tcBorders>
              <w:top w:val="nil"/>
              <w:left w:val="nil"/>
              <w:bottom w:val="single" w:color="auto" w:sz="4" w:space="0"/>
              <w:right w:val="single" w:color="auto" w:sz="4" w:space="0"/>
            </w:tcBorders>
            <w:noWrap/>
            <w:vAlign w:val="center"/>
          </w:tcPr>
          <w:p w14:paraId="582DDAD5">
            <w:pPr>
              <w:jc w:val="center"/>
              <w:rPr>
                <w:highlight w:val="none"/>
              </w:rPr>
            </w:pPr>
            <w:r>
              <w:rPr>
                <w:rFonts w:hint="eastAsia" w:ascii="仿宋_GB2312" w:hAnsi="宋体" w:eastAsia="仿宋_GB2312" w:cs="宋体"/>
                <w:bCs/>
                <w:kern w:val="0"/>
                <w:sz w:val="24"/>
                <w:highlight w:val="none"/>
              </w:rPr>
              <w:t>学院集体项目</w:t>
            </w:r>
          </w:p>
        </w:tc>
      </w:tr>
      <w:tr w14:paraId="0BAFF660">
        <w:tblPrEx>
          <w:tblCellMar>
            <w:top w:w="0" w:type="dxa"/>
            <w:left w:w="108" w:type="dxa"/>
            <w:bottom w:w="0" w:type="dxa"/>
            <w:right w:w="108" w:type="dxa"/>
          </w:tblCellMar>
        </w:tblPrEx>
        <w:trPr>
          <w:trHeight w:val="439" w:hRule="atLeast"/>
        </w:trPr>
        <w:tc>
          <w:tcPr>
            <w:tcW w:w="2316" w:type="dxa"/>
            <w:vMerge w:val="continue"/>
            <w:tcBorders>
              <w:left w:val="single" w:color="auto" w:sz="4" w:space="0"/>
              <w:bottom w:val="single" w:color="auto" w:sz="4" w:space="0"/>
              <w:right w:val="single" w:color="auto" w:sz="4" w:space="0"/>
            </w:tcBorders>
            <w:vAlign w:val="center"/>
          </w:tcPr>
          <w:p w14:paraId="1AF3B0CC">
            <w:pPr>
              <w:widowControl/>
              <w:spacing w:line="600" w:lineRule="exact"/>
              <w:jc w:val="left"/>
              <w:rPr>
                <w:rFonts w:ascii="仿宋_GB2312" w:hAnsi="宋体" w:eastAsia="仿宋_GB2312" w:cs="宋体"/>
                <w:kern w:val="0"/>
                <w:sz w:val="24"/>
                <w:highlight w:val="none"/>
              </w:rPr>
            </w:pPr>
          </w:p>
        </w:tc>
        <w:tc>
          <w:tcPr>
            <w:tcW w:w="4253" w:type="dxa"/>
            <w:tcBorders>
              <w:top w:val="nil"/>
              <w:left w:val="nil"/>
              <w:bottom w:val="single" w:color="auto" w:sz="4" w:space="0"/>
              <w:right w:val="single" w:color="auto" w:sz="4" w:space="0"/>
            </w:tcBorders>
            <w:noWrap/>
            <w:vAlign w:val="center"/>
          </w:tcPr>
          <w:p w14:paraId="154BC4E1">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一流课程</w:t>
            </w:r>
          </w:p>
        </w:tc>
        <w:tc>
          <w:tcPr>
            <w:tcW w:w="2052" w:type="dxa"/>
            <w:tcBorders>
              <w:top w:val="nil"/>
              <w:left w:val="nil"/>
              <w:bottom w:val="single" w:color="auto" w:sz="4" w:space="0"/>
              <w:right w:val="single" w:color="auto" w:sz="4" w:space="0"/>
            </w:tcBorders>
            <w:noWrap/>
            <w:vAlign w:val="center"/>
          </w:tcPr>
          <w:p w14:paraId="7F3AB0D6">
            <w:pPr>
              <w:jc w:val="center"/>
              <w:rPr>
                <w:highlight w:val="none"/>
              </w:rPr>
            </w:pPr>
            <w:r>
              <w:rPr>
                <w:rFonts w:hint="eastAsia" w:ascii="仿宋_GB2312" w:hAnsi="宋体" w:eastAsia="仿宋_GB2312" w:cs="宋体"/>
                <w:bCs/>
                <w:kern w:val="0"/>
                <w:sz w:val="24"/>
                <w:highlight w:val="none"/>
              </w:rPr>
              <w:t>学院集体项目</w:t>
            </w:r>
          </w:p>
        </w:tc>
      </w:tr>
      <w:tr w14:paraId="7AA8A25E">
        <w:tblPrEx>
          <w:tblCellMar>
            <w:top w:w="0" w:type="dxa"/>
            <w:left w:w="108" w:type="dxa"/>
            <w:bottom w:w="0" w:type="dxa"/>
            <w:right w:w="108" w:type="dxa"/>
          </w:tblCellMar>
        </w:tblPrEx>
        <w:trPr>
          <w:trHeight w:val="439" w:hRule="atLeast"/>
        </w:trPr>
        <w:tc>
          <w:tcPr>
            <w:tcW w:w="2316" w:type="dxa"/>
            <w:tcBorders>
              <w:top w:val="single" w:color="auto" w:sz="4" w:space="0"/>
              <w:left w:val="single" w:color="auto" w:sz="4" w:space="0"/>
              <w:bottom w:val="single" w:color="auto" w:sz="4" w:space="0"/>
              <w:right w:val="single" w:color="auto" w:sz="4" w:space="0"/>
            </w:tcBorders>
            <w:noWrap/>
            <w:vAlign w:val="center"/>
          </w:tcPr>
          <w:p w14:paraId="25737E2F">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教材类项目</w:t>
            </w:r>
          </w:p>
        </w:tc>
        <w:tc>
          <w:tcPr>
            <w:tcW w:w="4253" w:type="dxa"/>
            <w:tcBorders>
              <w:top w:val="nil"/>
              <w:left w:val="nil"/>
              <w:bottom w:val="single" w:color="auto" w:sz="4" w:space="0"/>
              <w:right w:val="single" w:color="auto" w:sz="4" w:space="0"/>
            </w:tcBorders>
            <w:noWrap/>
            <w:vAlign w:val="center"/>
          </w:tcPr>
          <w:p w14:paraId="37757B8E">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精品教材</w:t>
            </w:r>
          </w:p>
        </w:tc>
        <w:tc>
          <w:tcPr>
            <w:tcW w:w="2052" w:type="dxa"/>
            <w:tcBorders>
              <w:top w:val="nil"/>
              <w:left w:val="nil"/>
              <w:bottom w:val="single" w:color="auto" w:sz="4" w:space="0"/>
              <w:right w:val="single" w:color="auto" w:sz="4" w:space="0"/>
            </w:tcBorders>
            <w:noWrap/>
            <w:vAlign w:val="center"/>
          </w:tcPr>
          <w:p w14:paraId="4E6DCBF8">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个人项目</w:t>
            </w:r>
          </w:p>
        </w:tc>
      </w:tr>
      <w:tr w14:paraId="275B3836">
        <w:tblPrEx>
          <w:tblCellMar>
            <w:top w:w="0" w:type="dxa"/>
            <w:left w:w="108" w:type="dxa"/>
            <w:bottom w:w="0" w:type="dxa"/>
            <w:right w:w="108" w:type="dxa"/>
          </w:tblCellMar>
        </w:tblPrEx>
        <w:trPr>
          <w:trHeight w:val="439" w:hRule="atLeast"/>
        </w:trPr>
        <w:tc>
          <w:tcPr>
            <w:tcW w:w="2316" w:type="dxa"/>
            <w:vMerge w:val="restart"/>
            <w:tcBorders>
              <w:top w:val="nil"/>
              <w:left w:val="single" w:color="auto" w:sz="4" w:space="0"/>
              <w:bottom w:val="single" w:color="auto" w:sz="4" w:space="0"/>
              <w:right w:val="single" w:color="auto" w:sz="4" w:space="0"/>
            </w:tcBorders>
            <w:noWrap/>
            <w:vAlign w:val="center"/>
          </w:tcPr>
          <w:p w14:paraId="7B03615A">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实践教学类项目</w:t>
            </w:r>
          </w:p>
        </w:tc>
        <w:tc>
          <w:tcPr>
            <w:tcW w:w="4253" w:type="dxa"/>
            <w:tcBorders>
              <w:top w:val="nil"/>
              <w:left w:val="nil"/>
              <w:bottom w:val="single" w:color="auto" w:sz="4" w:space="0"/>
              <w:right w:val="single" w:color="auto" w:sz="4" w:space="0"/>
            </w:tcBorders>
            <w:noWrap/>
            <w:vAlign w:val="center"/>
          </w:tcPr>
          <w:p w14:paraId="557520FE">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实验教学示范中心</w:t>
            </w:r>
          </w:p>
        </w:tc>
        <w:tc>
          <w:tcPr>
            <w:tcW w:w="2052" w:type="dxa"/>
            <w:tcBorders>
              <w:top w:val="nil"/>
              <w:left w:val="nil"/>
              <w:bottom w:val="single" w:color="auto" w:sz="4" w:space="0"/>
              <w:right w:val="single" w:color="auto" w:sz="4" w:space="0"/>
            </w:tcBorders>
            <w:noWrap/>
            <w:vAlign w:val="center"/>
          </w:tcPr>
          <w:p w14:paraId="5540D07B">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学校集体项目</w:t>
            </w:r>
          </w:p>
        </w:tc>
      </w:tr>
      <w:tr w14:paraId="7515E17D">
        <w:tblPrEx>
          <w:tblCellMar>
            <w:top w:w="0" w:type="dxa"/>
            <w:left w:w="108" w:type="dxa"/>
            <w:bottom w:w="0" w:type="dxa"/>
            <w:right w:w="108" w:type="dxa"/>
          </w:tblCellMar>
        </w:tblPrEx>
        <w:trPr>
          <w:trHeight w:val="439" w:hRule="atLeast"/>
        </w:trPr>
        <w:tc>
          <w:tcPr>
            <w:tcW w:w="2316" w:type="dxa"/>
            <w:vMerge w:val="continue"/>
            <w:tcBorders>
              <w:top w:val="nil"/>
              <w:left w:val="single" w:color="auto" w:sz="4" w:space="0"/>
              <w:bottom w:val="single" w:color="auto" w:sz="4" w:space="0"/>
              <w:right w:val="single" w:color="auto" w:sz="4" w:space="0"/>
            </w:tcBorders>
            <w:vAlign w:val="center"/>
          </w:tcPr>
          <w:p w14:paraId="4FCB2406">
            <w:pPr>
              <w:widowControl/>
              <w:spacing w:line="600" w:lineRule="exact"/>
              <w:jc w:val="left"/>
              <w:rPr>
                <w:rFonts w:ascii="仿宋_GB2312" w:hAnsi="宋体" w:eastAsia="仿宋_GB2312" w:cs="宋体"/>
                <w:kern w:val="0"/>
                <w:sz w:val="24"/>
                <w:highlight w:val="none"/>
              </w:rPr>
            </w:pPr>
          </w:p>
        </w:tc>
        <w:tc>
          <w:tcPr>
            <w:tcW w:w="4253" w:type="dxa"/>
            <w:tcBorders>
              <w:top w:val="nil"/>
              <w:left w:val="nil"/>
              <w:bottom w:val="single" w:color="auto" w:sz="4" w:space="0"/>
              <w:right w:val="single" w:color="auto" w:sz="4" w:space="0"/>
            </w:tcBorders>
            <w:noWrap/>
            <w:vAlign w:val="center"/>
          </w:tcPr>
          <w:p w14:paraId="5310E08C">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虚拟仿真实验教学示范中心</w:t>
            </w:r>
          </w:p>
        </w:tc>
        <w:tc>
          <w:tcPr>
            <w:tcW w:w="2052" w:type="dxa"/>
            <w:tcBorders>
              <w:top w:val="nil"/>
              <w:left w:val="nil"/>
              <w:bottom w:val="single" w:color="auto" w:sz="4" w:space="0"/>
              <w:right w:val="single" w:color="auto" w:sz="4" w:space="0"/>
            </w:tcBorders>
            <w:noWrap/>
            <w:vAlign w:val="center"/>
          </w:tcPr>
          <w:p w14:paraId="3F0A195F">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学校集体项目</w:t>
            </w:r>
          </w:p>
        </w:tc>
      </w:tr>
      <w:tr w14:paraId="09168248">
        <w:tblPrEx>
          <w:tblCellMar>
            <w:top w:w="0" w:type="dxa"/>
            <w:left w:w="108" w:type="dxa"/>
            <w:bottom w:w="0" w:type="dxa"/>
            <w:right w:w="108" w:type="dxa"/>
          </w:tblCellMar>
        </w:tblPrEx>
        <w:trPr>
          <w:trHeight w:val="439" w:hRule="atLeast"/>
        </w:trPr>
        <w:tc>
          <w:tcPr>
            <w:tcW w:w="2316" w:type="dxa"/>
            <w:vMerge w:val="continue"/>
            <w:tcBorders>
              <w:top w:val="nil"/>
              <w:left w:val="single" w:color="auto" w:sz="4" w:space="0"/>
              <w:bottom w:val="single" w:color="auto" w:sz="4" w:space="0"/>
              <w:right w:val="single" w:color="auto" w:sz="4" w:space="0"/>
            </w:tcBorders>
            <w:vAlign w:val="center"/>
          </w:tcPr>
          <w:p w14:paraId="0ADC8711">
            <w:pPr>
              <w:widowControl/>
              <w:spacing w:line="600" w:lineRule="exact"/>
              <w:jc w:val="left"/>
              <w:rPr>
                <w:rFonts w:ascii="仿宋_GB2312" w:hAnsi="宋体" w:eastAsia="仿宋_GB2312" w:cs="宋体"/>
                <w:kern w:val="0"/>
                <w:sz w:val="24"/>
                <w:highlight w:val="none"/>
              </w:rPr>
            </w:pPr>
          </w:p>
        </w:tc>
        <w:tc>
          <w:tcPr>
            <w:tcW w:w="4253" w:type="dxa"/>
            <w:tcBorders>
              <w:top w:val="nil"/>
              <w:left w:val="nil"/>
              <w:bottom w:val="single" w:color="auto" w:sz="4" w:space="0"/>
              <w:right w:val="single" w:color="auto" w:sz="4" w:space="0"/>
            </w:tcBorders>
            <w:noWrap/>
            <w:vAlign w:val="center"/>
          </w:tcPr>
          <w:p w14:paraId="429E9148">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大学生实践教学基地</w:t>
            </w:r>
          </w:p>
        </w:tc>
        <w:tc>
          <w:tcPr>
            <w:tcW w:w="2052" w:type="dxa"/>
            <w:tcBorders>
              <w:top w:val="nil"/>
              <w:left w:val="nil"/>
              <w:bottom w:val="single" w:color="auto" w:sz="4" w:space="0"/>
              <w:right w:val="single" w:color="auto" w:sz="4" w:space="0"/>
            </w:tcBorders>
            <w:noWrap/>
            <w:vAlign w:val="center"/>
          </w:tcPr>
          <w:p w14:paraId="3434F5E7">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bCs/>
                <w:kern w:val="0"/>
                <w:sz w:val="24"/>
                <w:highlight w:val="none"/>
              </w:rPr>
              <w:t>学院集体项目</w:t>
            </w:r>
          </w:p>
        </w:tc>
      </w:tr>
      <w:tr w14:paraId="5C21E8D9">
        <w:tblPrEx>
          <w:tblCellMar>
            <w:top w:w="0" w:type="dxa"/>
            <w:left w:w="108" w:type="dxa"/>
            <w:bottom w:w="0" w:type="dxa"/>
            <w:right w:w="108" w:type="dxa"/>
          </w:tblCellMar>
        </w:tblPrEx>
        <w:trPr>
          <w:trHeight w:val="439" w:hRule="atLeast"/>
        </w:trPr>
        <w:tc>
          <w:tcPr>
            <w:tcW w:w="2316" w:type="dxa"/>
            <w:vMerge w:val="restart"/>
            <w:tcBorders>
              <w:top w:val="nil"/>
              <w:left w:val="single" w:color="auto" w:sz="4" w:space="0"/>
              <w:bottom w:val="single" w:color="000000" w:sz="4" w:space="0"/>
              <w:right w:val="single" w:color="auto" w:sz="4" w:space="0"/>
            </w:tcBorders>
            <w:noWrap/>
            <w:vAlign w:val="center"/>
          </w:tcPr>
          <w:p w14:paraId="01B5A755">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教师教学类项目</w:t>
            </w:r>
          </w:p>
        </w:tc>
        <w:tc>
          <w:tcPr>
            <w:tcW w:w="4253" w:type="dxa"/>
            <w:tcBorders>
              <w:top w:val="nil"/>
              <w:left w:val="nil"/>
              <w:bottom w:val="single" w:color="auto" w:sz="4" w:space="0"/>
              <w:right w:val="single" w:color="auto" w:sz="4" w:space="0"/>
            </w:tcBorders>
            <w:noWrap/>
            <w:vAlign w:val="center"/>
          </w:tcPr>
          <w:p w14:paraId="4FA11571">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教师教学发展中心</w:t>
            </w:r>
          </w:p>
        </w:tc>
        <w:tc>
          <w:tcPr>
            <w:tcW w:w="2052" w:type="dxa"/>
            <w:tcBorders>
              <w:top w:val="nil"/>
              <w:left w:val="nil"/>
              <w:bottom w:val="single" w:color="auto" w:sz="4" w:space="0"/>
              <w:right w:val="single" w:color="auto" w:sz="4" w:space="0"/>
            </w:tcBorders>
            <w:noWrap/>
            <w:vAlign w:val="center"/>
          </w:tcPr>
          <w:p w14:paraId="617E1667">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学校集体项目</w:t>
            </w:r>
          </w:p>
        </w:tc>
      </w:tr>
      <w:tr w14:paraId="3327D19E">
        <w:tblPrEx>
          <w:tblCellMar>
            <w:top w:w="0" w:type="dxa"/>
            <w:left w:w="108" w:type="dxa"/>
            <w:bottom w:w="0" w:type="dxa"/>
            <w:right w:w="108" w:type="dxa"/>
          </w:tblCellMar>
        </w:tblPrEx>
        <w:trPr>
          <w:trHeight w:val="439" w:hRule="atLeast"/>
        </w:trPr>
        <w:tc>
          <w:tcPr>
            <w:tcW w:w="2316" w:type="dxa"/>
            <w:vMerge w:val="continue"/>
            <w:tcBorders>
              <w:top w:val="nil"/>
              <w:left w:val="single" w:color="auto" w:sz="4" w:space="0"/>
              <w:bottom w:val="single" w:color="000000" w:sz="4" w:space="0"/>
              <w:right w:val="single" w:color="auto" w:sz="4" w:space="0"/>
            </w:tcBorders>
            <w:vAlign w:val="center"/>
          </w:tcPr>
          <w:p w14:paraId="25F47275">
            <w:pPr>
              <w:widowControl/>
              <w:spacing w:line="600" w:lineRule="exact"/>
              <w:jc w:val="left"/>
              <w:rPr>
                <w:rFonts w:ascii="仿宋_GB2312" w:hAnsi="宋体" w:eastAsia="仿宋_GB2312" w:cs="宋体"/>
                <w:kern w:val="0"/>
                <w:sz w:val="24"/>
                <w:highlight w:val="none"/>
              </w:rPr>
            </w:pPr>
          </w:p>
        </w:tc>
        <w:tc>
          <w:tcPr>
            <w:tcW w:w="4253" w:type="dxa"/>
            <w:tcBorders>
              <w:top w:val="nil"/>
              <w:left w:val="nil"/>
              <w:bottom w:val="single" w:color="auto" w:sz="4" w:space="0"/>
              <w:right w:val="single" w:color="auto" w:sz="4" w:space="0"/>
            </w:tcBorders>
            <w:noWrap/>
            <w:vAlign w:val="center"/>
          </w:tcPr>
          <w:p w14:paraId="785BF752">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教学团队</w:t>
            </w:r>
          </w:p>
        </w:tc>
        <w:tc>
          <w:tcPr>
            <w:tcW w:w="2052" w:type="dxa"/>
            <w:tcBorders>
              <w:top w:val="nil"/>
              <w:left w:val="nil"/>
              <w:bottom w:val="single" w:color="auto" w:sz="4" w:space="0"/>
              <w:right w:val="single" w:color="auto" w:sz="4" w:space="0"/>
            </w:tcBorders>
            <w:noWrap/>
            <w:vAlign w:val="center"/>
          </w:tcPr>
          <w:p w14:paraId="4B845EC0">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bCs/>
                <w:kern w:val="0"/>
                <w:sz w:val="24"/>
                <w:highlight w:val="none"/>
              </w:rPr>
              <w:t>学院集体项目</w:t>
            </w:r>
          </w:p>
        </w:tc>
      </w:tr>
      <w:tr w14:paraId="3C0817B4">
        <w:tblPrEx>
          <w:tblCellMar>
            <w:top w:w="0" w:type="dxa"/>
            <w:left w:w="108" w:type="dxa"/>
            <w:bottom w:w="0" w:type="dxa"/>
            <w:right w:w="108" w:type="dxa"/>
          </w:tblCellMar>
        </w:tblPrEx>
        <w:trPr>
          <w:trHeight w:val="439" w:hRule="atLeast"/>
        </w:trPr>
        <w:tc>
          <w:tcPr>
            <w:tcW w:w="2316" w:type="dxa"/>
            <w:vMerge w:val="continue"/>
            <w:tcBorders>
              <w:top w:val="nil"/>
              <w:left w:val="single" w:color="auto" w:sz="4" w:space="0"/>
              <w:bottom w:val="single" w:color="000000" w:sz="4" w:space="0"/>
              <w:right w:val="single" w:color="auto" w:sz="4" w:space="0"/>
            </w:tcBorders>
            <w:vAlign w:val="center"/>
          </w:tcPr>
          <w:p w14:paraId="0F934748">
            <w:pPr>
              <w:widowControl/>
              <w:spacing w:line="600" w:lineRule="exact"/>
              <w:jc w:val="left"/>
              <w:rPr>
                <w:rFonts w:ascii="仿宋_GB2312" w:hAnsi="宋体" w:eastAsia="仿宋_GB2312" w:cs="宋体"/>
                <w:kern w:val="0"/>
                <w:sz w:val="24"/>
                <w:highlight w:val="none"/>
              </w:rPr>
            </w:pPr>
          </w:p>
        </w:tc>
        <w:tc>
          <w:tcPr>
            <w:tcW w:w="4253" w:type="dxa"/>
            <w:tcBorders>
              <w:top w:val="nil"/>
              <w:left w:val="nil"/>
              <w:bottom w:val="single" w:color="auto" w:sz="4" w:space="0"/>
              <w:right w:val="single" w:color="auto" w:sz="4" w:space="0"/>
            </w:tcBorders>
            <w:noWrap/>
            <w:vAlign w:val="center"/>
          </w:tcPr>
          <w:p w14:paraId="654E7D94">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教学名师</w:t>
            </w:r>
          </w:p>
        </w:tc>
        <w:tc>
          <w:tcPr>
            <w:tcW w:w="2052" w:type="dxa"/>
            <w:tcBorders>
              <w:top w:val="nil"/>
              <w:left w:val="nil"/>
              <w:bottom w:val="single" w:color="auto" w:sz="4" w:space="0"/>
              <w:right w:val="single" w:color="auto" w:sz="4" w:space="0"/>
            </w:tcBorders>
            <w:noWrap/>
            <w:vAlign w:val="center"/>
          </w:tcPr>
          <w:p w14:paraId="0A3FA4FF">
            <w:pPr>
              <w:widowControl/>
              <w:spacing w:line="600" w:lineRule="exact"/>
              <w:jc w:val="center"/>
              <w:rPr>
                <w:rFonts w:ascii="仿宋_GB2312" w:hAnsi="宋体" w:eastAsia="仿宋_GB2312" w:cs="宋体"/>
                <w:bCs/>
                <w:kern w:val="0"/>
                <w:sz w:val="24"/>
                <w:highlight w:val="none"/>
              </w:rPr>
            </w:pPr>
            <w:r>
              <w:rPr>
                <w:rFonts w:hint="eastAsia" w:ascii="仿宋_GB2312" w:hAnsi="宋体" w:eastAsia="仿宋_GB2312" w:cs="宋体"/>
                <w:kern w:val="0"/>
                <w:sz w:val="24"/>
                <w:highlight w:val="none"/>
              </w:rPr>
              <w:t>个人项目</w:t>
            </w:r>
          </w:p>
        </w:tc>
      </w:tr>
      <w:tr w14:paraId="613011DA">
        <w:tblPrEx>
          <w:tblCellMar>
            <w:top w:w="0" w:type="dxa"/>
            <w:left w:w="108" w:type="dxa"/>
            <w:bottom w:w="0" w:type="dxa"/>
            <w:right w:w="108" w:type="dxa"/>
          </w:tblCellMar>
        </w:tblPrEx>
        <w:trPr>
          <w:trHeight w:val="439" w:hRule="atLeast"/>
        </w:trPr>
        <w:tc>
          <w:tcPr>
            <w:tcW w:w="2316" w:type="dxa"/>
            <w:vMerge w:val="continue"/>
            <w:tcBorders>
              <w:top w:val="nil"/>
              <w:left w:val="single" w:color="auto" w:sz="4" w:space="0"/>
              <w:bottom w:val="single" w:color="000000" w:sz="4" w:space="0"/>
              <w:right w:val="single" w:color="auto" w:sz="4" w:space="0"/>
            </w:tcBorders>
            <w:vAlign w:val="center"/>
          </w:tcPr>
          <w:p w14:paraId="45619ECC">
            <w:pPr>
              <w:widowControl/>
              <w:spacing w:line="600" w:lineRule="exact"/>
              <w:jc w:val="left"/>
              <w:rPr>
                <w:rFonts w:ascii="仿宋_GB2312" w:hAnsi="宋体" w:eastAsia="仿宋_GB2312" w:cs="宋体"/>
                <w:kern w:val="0"/>
                <w:sz w:val="24"/>
                <w:highlight w:val="none"/>
              </w:rPr>
            </w:pPr>
          </w:p>
        </w:tc>
        <w:tc>
          <w:tcPr>
            <w:tcW w:w="4253" w:type="dxa"/>
            <w:tcBorders>
              <w:top w:val="nil"/>
              <w:left w:val="nil"/>
              <w:bottom w:val="single" w:color="auto" w:sz="4" w:space="0"/>
              <w:right w:val="single" w:color="auto" w:sz="4" w:space="0"/>
            </w:tcBorders>
            <w:noWrap/>
            <w:vAlign w:val="center"/>
          </w:tcPr>
          <w:p w14:paraId="786D97C1">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教育教学改革项目</w:t>
            </w:r>
          </w:p>
        </w:tc>
        <w:tc>
          <w:tcPr>
            <w:tcW w:w="2052" w:type="dxa"/>
            <w:tcBorders>
              <w:top w:val="nil"/>
              <w:left w:val="nil"/>
              <w:bottom w:val="single" w:color="auto" w:sz="4" w:space="0"/>
              <w:right w:val="single" w:color="auto" w:sz="4" w:space="0"/>
            </w:tcBorders>
            <w:noWrap/>
            <w:vAlign w:val="center"/>
          </w:tcPr>
          <w:p w14:paraId="0F9F6EC7">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个人项目</w:t>
            </w:r>
          </w:p>
        </w:tc>
      </w:tr>
      <w:tr w14:paraId="35FABA91">
        <w:tblPrEx>
          <w:tblCellMar>
            <w:top w:w="0" w:type="dxa"/>
            <w:left w:w="108" w:type="dxa"/>
            <w:bottom w:w="0" w:type="dxa"/>
            <w:right w:w="108" w:type="dxa"/>
          </w:tblCellMar>
        </w:tblPrEx>
        <w:trPr>
          <w:trHeight w:val="439" w:hRule="atLeast"/>
        </w:trPr>
        <w:tc>
          <w:tcPr>
            <w:tcW w:w="2316" w:type="dxa"/>
            <w:vMerge w:val="restart"/>
            <w:tcBorders>
              <w:top w:val="nil"/>
              <w:left w:val="single" w:color="auto" w:sz="4" w:space="0"/>
              <w:bottom w:val="single" w:color="000000" w:sz="4" w:space="0"/>
              <w:right w:val="single" w:color="auto" w:sz="4" w:space="0"/>
            </w:tcBorders>
            <w:noWrap/>
            <w:vAlign w:val="center"/>
          </w:tcPr>
          <w:p w14:paraId="7C5F7CBD">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综合改革项目</w:t>
            </w:r>
          </w:p>
        </w:tc>
        <w:tc>
          <w:tcPr>
            <w:tcW w:w="4253" w:type="dxa"/>
            <w:tcBorders>
              <w:top w:val="nil"/>
              <w:left w:val="nil"/>
              <w:bottom w:val="single" w:color="auto" w:sz="4" w:space="0"/>
              <w:right w:val="single" w:color="auto" w:sz="4" w:space="0"/>
            </w:tcBorders>
            <w:noWrap/>
            <w:vAlign w:val="center"/>
          </w:tcPr>
          <w:p w14:paraId="3F26073C">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试点学院</w:t>
            </w:r>
          </w:p>
        </w:tc>
        <w:tc>
          <w:tcPr>
            <w:tcW w:w="2052" w:type="dxa"/>
            <w:tcBorders>
              <w:top w:val="nil"/>
              <w:left w:val="nil"/>
              <w:bottom w:val="single" w:color="auto" w:sz="4" w:space="0"/>
              <w:right w:val="single" w:color="auto" w:sz="4" w:space="0"/>
            </w:tcBorders>
            <w:noWrap/>
            <w:vAlign w:val="center"/>
          </w:tcPr>
          <w:p w14:paraId="2AEDE31D">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学校集体项目</w:t>
            </w:r>
          </w:p>
        </w:tc>
      </w:tr>
      <w:tr w14:paraId="756A1E7F">
        <w:tblPrEx>
          <w:tblCellMar>
            <w:top w:w="0" w:type="dxa"/>
            <w:left w:w="108" w:type="dxa"/>
            <w:bottom w:w="0" w:type="dxa"/>
            <w:right w:w="108" w:type="dxa"/>
          </w:tblCellMar>
        </w:tblPrEx>
        <w:trPr>
          <w:trHeight w:val="439" w:hRule="atLeast"/>
        </w:trPr>
        <w:tc>
          <w:tcPr>
            <w:tcW w:w="2316" w:type="dxa"/>
            <w:vMerge w:val="continue"/>
            <w:tcBorders>
              <w:top w:val="nil"/>
              <w:left w:val="single" w:color="auto" w:sz="4" w:space="0"/>
              <w:bottom w:val="single" w:color="000000" w:sz="4" w:space="0"/>
              <w:right w:val="single" w:color="auto" w:sz="4" w:space="0"/>
            </w:tcBorders>
            <w:vAlign w:val="center"/>
          </w:tcPr>
          <w:p w14:paraId="06F4930C">
            <w:pPr>
              <w:widowControl/>
              <w:spacing w:line="600" w:lineRule="exact"/>
              <w:jc w:val="left"/>
              <w:rPr>
                <w:rFonts w:ascii="仿宋_GB2312" w:hAnsi="宋体" w:eastAsia="仿宋_GB2312" w:cs="宋体"/>
                <w:kern w:val="0"/>
                <w:sz w:val="24"/>
                <w:highlight w:val="none"/>
              </w:rPr>
            </w:pPr>
          </w:p>
        </w:tc>
        <w:tc>
          <w:tcPr>
            <w:tcW w:w="4253" w:type="dxa"/>
            <w:tcBorders>
              <w:top w:val="nil"/>
              <w:left w:val="nil"/>
              <w:bottom w:val="single" w:color="auto" w:sz="4" w:space="0"/>
              <w:right w:val="single" w:color="auto" w:sz="4" w:space="0"/>
            </w:tcBorders>
            <w:noWrap/>
            <w:vAlign w:val="center"/>
          </w:tcPr>
          <w:p w14:paraId="1CDB7864">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人才培养模式创新实验区</w:t>
            </w:r>
          </w:p>
        </w:tc>
        <w:tc>
          <w:tcPr>
            <w:tcW w:w="2052" w:type="dxa"/>
            <w:tcBorders>
              <w:top w:val="nil"/>
              <w:left w:val="nil"/>
              <w:bottom w:val="single" w:color="auto" w:sz="4" w:space="0"/>
              <w:right w:val="single" w:color="auto" w:sz="4" w:space="0"/>
            </w:tcBorders>
            <w:noWrap/>
            <w:vAlign w:val="center"/>
          </w:tcPr>
          <w:p w14:paraId="18B26C64">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学校集体项目</w:t>
            </w:r>
          </w:p>
        </w:tc>
      </w:tr>
      <w:tr w14:paraId="2BA0FFCF">
        <w:tblPrEx>
          <w:tblCellMar>
            <w:top w:w="0" w:type="dxa"/>
            <w:left w:w="108" w:type="dxa"/>
            <w:bottom w:w="0" w:type="dxa"/>
            <w:right w:w="108" w:type="dxa"/>
          </w:tblCellMar>
        </w:tblPrEx>
        <w:trPr>
          <w:trHeight w:val="1197" w:hRule="atLeast"/>
        </w:trPr>
        <w:tc>
          <w:tcPr>
            <w:tcW w:w="2316" w:type="dxa"/>
            <w:tcBorders>
              <w:top w:val="nil"/>
              <w:left w:val="single" w:color="auto" w:sz="4" w:space="0"/>
              <w:bottom w:val="single" w:color="auto" w:sz="4" w:space="0"/>
              <w:right w:val="single" w:color="auto" w:sz="4" w:space="0"/>
            </w:tcBorders>
            <w:noWrap/>
            <w:vAlign w:val="center"/>
          </w:tcPr>
          <w:p w14:paraId="5D930068">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专项人才培养计划</w:t>
            </w:r>
          </w:p>
        </w:tc>
        <w:tc>
          <w:tcPr>
            <w:tcW w:w="4253" w:type="dxa"/>
            <w:tcBorders>
              <w:top w:val="nil"/>
              <w:left w:val="nil"/>
              <w:bottom w:val="single" w:color="auto" w:sz="4" w:space="0"/>
              <w:right w:val="single" w:color="auto" w:sz="4" w:space="0"/>
            </w:tcBorders>
            <w:noWrap/>
            <w:vAlign w:val="center"/>
          </w:tcPr>
          <w:p w14:paraId="63380647">
            <w:pPr>
              <w:widowControl/>
              <w:spacing w:line="600" w:lineRule="exact"/>
              <w:jc w:val="center"/>
              <w:rPr>
                <w:rFonts w:ascii="仿宋_GB2312" w:hAnsi="宋体" w:eastAsia="仿宋_GB2312"/>
                <w:sz w:val="24"/>
                <w:highlight w:val="none"/>
              </w:rPr>
            </w:pPr>
            <w:r>
              <w:rPr>
                <w:rFonts w:hint="eastAsia" w:ascii="仿宋_GB2312" w:hAnsi="宋体" w:eastAsia="仿宋_GB2312"/>
                <w:sz w:val="24"/>
                <w:highlight w:val="none"/>
              </w:rPr>
              <w:t>卓越工程师教育培养计划、</w:t>
            </w:r>
          </w:p>
          <w:p w14:paraId="3F41179F">
            <w:pPr>
              <w:widowControl/>
              <w:spacing w:line="600" w:lineRule="exact"/>
              <w:jc w:val="center"/>
              <w:rPr>
                <w:rFonts w:ascii="仿宋_GB2312" w:hAnsi="宋体" w:eastAsia="仿宋_GB2312"/>
                <w:sz w:val="24"/>
                <w:highlight w:val="none"/>
              </w:rPr>
            </w:pPr>
            <w:r>
              <w:rPr>
                <w:rFonts w:hint="eastAsia" w:ascii="仿宋_GB2312" w:hAnsi="宋体" w:eastAsia="仿宋_GB2312"/>
                <w:sz w:val="24"/>
                <w:highlight w:val="none"/>
              </w:rPr>
              <w:t>卓越文科人才教育培养计划、</w:t>
            </w:r>
          </w:p>
          <w:p w14:paraId="436777BA">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sz w:val="24"/>
                <w:highlight w:val="none"/>
              </w:rPr>
              <w:t>基础学科拔尖创新人才教育培养计划</w:t>
            </w:r>
          </w:p>
        </w:tc>
        <w:tc>
          <w:tcPr>
            <w:tcW w:w="2052" w:type="dxa"/>
            <w:tcBorders>
              <w:top w:val="nil"/>
              <w:left w:val="nil"/>
              <w:bottom w:val="single" w:color="auto" w:sz="4" w:space="0"/>
              <w:right w:val="single" w:color="auto" w:sz="4" w:space="0"/>
            </w:tcBorders>
            <w:noWrap/>
            <w:vAlign w:val="center"/>
          </w:tcPr>
          <w:p w14:paraId="5DA3E769">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bCs/>
                <w:kern w:val="0"/>
                <w:sz w:val="24"/>
                <w:highlight w:val="none"/>
              </w:rPr>
              <w:t>学院集体项目</w:t>
            </w:r>
          </w:p>
        </w:tc>
      </w:tr>
      <w:tr w14:paraId="3F886573">
        <w:tblPrEx>
          <w:tblCellMar>
            <w:top w:w="0" w:type="dxa"/>
            <w:left w:w="108" w:type="dxa"/>
            <w:bottom w:w="0" w:type="dxa"/>
            <w:right w:w="108" w:type="dxa"/>
          </w:tblCellMar>
        </w:tblPrEx>
        <w:trPr>
          <w:trHeight w:val="554" w:hRule="atLeast"/>
        </w:trPr>
        <w:tc>
          <w:tcPr>
            <w:tcW w:w="2316" w:type="dxa"/>
            <w:vMerge w:val="restart"/>
            <w:tcBorders>
              <w:top w:val="nil"/>
              <w:left w:val="single" w:color="auto" w:sz="4" w:space="0"/>
              <w:bottom w:val="single" w:color="000000" w:sz="4" w:space="0"/>
              <w:right w:val="single" w:color="auto" w:sz="4" w:space="0"/>
            </w:tcBorders>
            <w:noWrap/>
            <w:vAlign w:val="center"/>
          </w:tcPr>
          <w:p w14:paraId="41E179A3">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创新创业类项目</w:t>
            </w:r>
          </w:p>
        </w:tc>
        <w:tc>
          <w:tcPr>
            <w:tcW w:w="4253" w:type="dxa"/>
            <w:tcBorders>
              <w:top w:val="nil"/>
              <w:left w:val="nil"/>
              <w:bottom w:val="single" w:color="auto" w:sz="4" w:space="0"/>
              <w:right w:val="single" w:color="auto" w:sz="4" w:space="0"/>
            </w:tcBorders>
            <w:noWrap/>
            <w:vAlign w:val="center"/>
          </w:tcPr>
          <w:p w14:paraId="2AD017DD">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省创新创业教育示范校、</w:t>
            </w:r>
          </w:p>
          <w:p w14:paraId="1A407899">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创新创业教育示范基地</w:t>
            </w:r>
          </w:p>
        </w:tc>
        <w:tc>
          <w:tcPr>
            <w:tcW w:w="2052" w:type="dxa"/>
            <w:tcBorders>
              <w:top w:val="nil"/>
              <w:left w:val="nil"/>
              <w:bottom w:val="single" w:color="auto" w:sz="4" w:space="0"/>
              <w:right w:val="single" w:color="auto" w:sz="4" w:space="0"/>
            </w:tcBorders>
            <w:noWrap/>
            <w:vAlign w:val="center"/>
          </w:tcPr>
          <w:p w14:paraId="46797969">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学校集体项目</w:t>
            </w:r>
          </w:p>
        </w:tc>
      </w:tr>
      <w:tr w14:paraId="7EC46C53">
        <w:tblPrEx>
          <w:tblCellMar>
            <w:top w:w="0" w:type="dxa"/>
            <w:left w:w="108" w:type="dxa"/>
            <w:bottom w:w="0" w:type="dxa"/>
            <w:right w:w="108" w:type="dxa"/>
          </w:tblCellMar>
        </w:tblPrEx>
        <w:trPr>
          <w:trHeight w:val="743" w:hRule="atLeast"/>
        </w:trPr>
        <w:tc>
          <w:tcPr>
            <w:tcW w:w="2316" w:type="dxa"/>
            <w:vMerge w:val="continue"/>
            <w:tcBorders>
              <w:top w:val="nil"/>
              <w:left w:val="single" w:color="auto" w:sz="4" w:space="0"/>
              <w:bottom w:val="single" w:color="000000" w:sz="4" w:space="0"/>
              <w:right w:val="single" w:color="auto" w:sz="4" w:space="0"/>
            </w:tcBorders>
            <w:vAlign w:val="center"/>
          </w:tcPr>
          <w:p w14:paraId="061372B7">
            <w:pPr>
              <w:widowControl/>
              <w:spacing w:line="600" w:lineRule="exact"/>
              <w:jc w:val="left"/>
              <w:rPr>
                <w:rFonts w:ascii="仿宋_GB2312" w:hAnsi="宋体" w:eastAsia="仿宋_GB2312" w:cs="宋体"/>
                <w:kern w:val="0"/>
                <w:sz w:val="24"/>
                <w:highlight w:val="none"/>
              </w:rPr>
            </w:pPr>
          </w:p>
        </w:tc>
        <w:tc>
          <w:tcPr>
            <w:tcW w:w="4253" w:type="dxa"/>
            <w:tcBorders>
              <w:top w:val="nil"/>
              <w:left w:val="nil"/>
              <w:bottom w:val="single" w:color="auto" w:sz="4" w:space="0"/>
              <w:right w:val="single" w:color="auto" w:sz="4" w:space="0"/>
            </w:tcBorders>
            <w:noWrap/>
            <w:vAlign w:val="center"/>
          </w:tcPr>
          <w:p w14:paraId="3C09293D">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大学生创新创业训练计划项目</w:t>
            </w:r>
          </w:p>
        </w:tc>
        <w:tc>
          <w:tcPr>
            <w:tcW w:w="2052" w:type="dxa"/>
            <w:tcBorders>
              <w:top w:val="nil"/>
              <w:left w:val="nil"/>
              <w:bottom w:val="single" w:color="auto" w:sz="4" w:space="0"/>
              <w:right w:val="single" w:color="auto" w:sz="4" w:space="0"/>
            </w:tcBorders>
            <w:noWrap/>
            <w:vAlign w:val="center"/>
          </w:tcPr>
          <w:p w14:paraId="499F6D87">
            <w:pPr>
              <w:widowControl/>
              <w:spacing w:line="600" w:lineRule="exact"/>
              <w:jc w:val="center"/>
              <w:rPr>
                <w:rFonts w:ascii="仿宋_GB2312" w:hAnsi="宋体" w:eastAsia="仿宋_GB2312" w:cs="宋体"/>
                <w:kern w:val="0"/>
                <w:sz w:val="24"/>
                <w:highlight w:val="none"/>
              </w:rPr>
            </w:pPr>
            <w:r>
              <w:rPr>
                <w:rFonts w:hint="eastAsia" w:ascii="仿宋_GB2312" w:hAnsi="宋体" w:eastAsia="仿宋_GB2312" w:cs="宋体"/>
                <w:kern w:val="0"/>
                <w:sz w:val="24"/>
                <w:highlight w:val="none"/>
              </w:rPr>
              <w:t>个人项目</w:t>
            </w:r>
          </w:p>
        </w:tc>
      </w:tr>
    </w:tbl>
    <w:p w14:paraId="2335AEF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F87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2026-05-14T02:02:02Z</dcterms:created>
  <dc:creator>Administrator</dc:creator>
  <cp:lastModifiedBy>TOT</cp:lastModifiedBy>
  <dcterms:modified xsi:type="dcterms:W3CDTF">2026-05-14T02:02:17Z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eyJoZGlkIjoiNzA3NjU1ZWQ4ODAzZDI0ZDlhNDE5ODA0MzlhM2U0YjUiLCJ1c2VySWQiOiI0NjM3NjE5NzIifQ==</vt:lpwstr>
  </property>
  <property fmtid="{D5CDD505-2E9C-101B-9397-08002B2CF9AE}" pid="4" name="ICV">
    <vt:lpwstr>AD54EB61E2CB4DD58545E4B74BB00054_12</vt:lpwstr>
  </property>
</Properties>
</file>